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119" w:rsidRDefault="00ED4119" w:rsidP="00ED4119">
      <w:pPr>
        <w:jc w:val="center"/>
        <w:rPr>
          <w:rFonts w:ascii="Century Gothic" w:hAnsi="Century Gothic"/>
          <w:b/>
          <w:sz w:val="28"/>
          <w:szCs w:val="28"/>
        </w:rPr>
      </w:pPr>
    </w:p>
    <w:p w:rsidR="00ED4119" w:rsidRPr="00ED4119" w:rsidRDefault="00ED4119" w:rsidP="00ED4119">
      <w:pPr>
        <w:jc w:val="center"/>
        <w:rPr>
          <w:rFonts w:ascii="Century Gothic" w:hAnsi="Century Gothic"/>
          <w:b/>
          <w:sz w:val="28"/>
          <w:szCs w:val="28"/>
        </w:rPr>
      </w:pPr>
      <w:r w:rsidRPr="00ED4119">
        <w:rPr>
          <w:rFonts w:ascii="Century Gothic" w:hAnsi="Century Gothic"/>
          <w:b/>
          <w:sz w:val="28"/>
          <w:szCs w:val="28"/>
        </w:rPr>
        <w:t>E</w:t>
      </w:r>
      <w:r w:rsidRPr="00ED4119">
        <w:rPr>
          <w:rFonts w:ascii="Century Gothic" w:hAnsi="Century Gothic"/>
          <w:b/>
          <w:sz w:val="28"/>
          <w:szCs w:val="28"/>
        </w:rPr>
        <w:t>NTIDADES EXTERNAS QUE SUPERVISAN LA GESTIÓN DE LAS CÁMARAS DE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ED4119">
        <w:rPr>
          <w:rFonts w:ascii="Century Gothic" w:hAnsi="Century Gothic"/>
          <w:b/>
          <w:sz w:val="28"/>
          <w:szCs w:val="28"/>
        </w:rPr>
        <w:t>COMERCIO</w:t>
      </w:r>
    </w:p>
    <w:p w:rsidR="00ED4119" w:rsidRPr="00ED4119" w:rsidRDefault="00ED4119" w:rsidP="00ED4119">
      <w:pPr>
        <w:rPr>
          <w:rFonts w:ascii="Century Gothic" w:hAnsi="Century Gothic"/>
          <w:b/>
        </w:rPr>
      </w:pPr>
      <w:r w:rsidRPr="00ED4119">
        <w:rPr>
          <w:rFonts w:ascii="Century Gothic" w:hAnsi="Century Gothic"/>
          <w:b/>
        </w:rPr>
        <w:t>1. SUPERINTENDENCIA DE SOCIEDADES - SS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>De conformidad con el artículo 87 del Código de Comercio, la Superintendencia de Sociedades es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la entidad competente para ejercer control y vigilancia sobre las cámaras de comercio en relación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con las funciones que le han sido delegadas.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>Define el artículo 27 del citado Código que la SS: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>• Determina los libros para llevar el registro mercantil.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>• Determina la forma en que se deben dar las inscripciones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>• Da instrucciones necesarias para que las cámaras cumplan a cabalidad con la función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pública registral.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>El artículo 94 del Código de Comercio señala que la SS, conoce de las apelaciones interpuestas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contra los actos de las cámaras de comercio.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 xml:space="preserve">El artículo 2.2.2.38.3.15. </w:t>
      </w:r>
      <w:proofErr w:type="gramStart"/>
      <w:r w:rsidRPr="00ED4119">
        <w:rPr>
          <w:rFonts w:ascii="Century Gothic" w:hAnsi="Century Gothic"/>
        </w:rPr>
        <w:t>del</w:t>
      </w:r>
      <w:proofErr w:type="gramEnd"/>
      <w:r w:rsidRPr="00ED4119">
        <w:rPr>
          <w:rFonts w:ascii="Century Gothic" w:hAnsi="Century Gothic"/>
        </w:rPr>
        <w:t xml:space="preserve"> decreto 1074 de 2015, establece que la SS conoce de las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impugnaciones de las elecciones de los miembros de la Junta Directiva.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Dirección</w:t>
      </w:r>
      <w:r w:rsidRPr="00ED4119">
        <w:rPr>
          <w:rFonts w:ascii="Century Gothic" w:hAnsi="Century Gothic"/>
        </w:rPr>
        <w:t>: AVENIDA EL DORADO No. 51-80 Bogotá - Colombia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Teléfono:</w:t>
      </w:r>
      <w:r w:rsidRPr="00ED4119">
        <w:rPr>
          <w:rFonts w:ascii="Century Gothic" w:hAnsi="Century Gothic"/>
        </w:rPr>
        <w:t xml:space="preserve"> 601 220 1000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Email:</w:t>
      </w:r>
      <w:r w:rsidRPr="00ED4119">
        <w:rPr>
          <w:rFonts w:ascii="Century Gothic" w:hAnsi="Century Gothic"/>
        </w:rPr>
        <w:t xml:space="preserve"> webmaster@supersociedades.gov.co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>Enlace al sitio web: https://www.supersociedades.gov.co/SitePages/Inicio.aspx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Tipo de control:</w:t>
      </w:r>
      <w:r w:rsidRPr="00ED4119">
        <w:rPr>
          <w:rFonts w:ascii="Century Gothic" w:hAnsi="Century Gothic"/>
        </w:rPr>
        <w:t xml:space="preserve"> Regulatorio.</w:t>
      </w:r>
    </w:p>
    <w:p w:rsidR="00ED4119" w:rsidRPr="00ED4119" w:rsidRDefault="00ED4119" w:rsidP="00ED4119">
      <w:pPr>
        <w:rPr>
          <w:rFonts w:ascii="Century Gothic" w:hAnsi="Century Gothic"/>
          <w:b/>
        </w:rPr>
      </w:pPr>
      <w:r w:rsidRPr="00ED4119">
        <w:rPr>
          <w:rFonts w:ascii="Century Gothic" w:hAnsi="Century Gothic"/>
          <w:b/>
        </w:rPr>
        <w:t>2. CONTRALORÍA GENERAL DE LA REPÚBLICA</w:t>
      </w:r>
    </w:p>
    <w:p w:rsidR="00ED4119" w:rsidRPr="00ED4119" w:rsidRDefault="00ED4119" w:rsidP="00ED4119">
      <w:pPr>
        <w:jc w:val="both"/>
        <w:rPr>
          <w:rFonts w:ascii="Century Gothic" w:hAnsi="Century Gothic"/>
        </w:rPr>
      </w:pPr>
      <w:r w:rsidRPr="00ED4119">
        <w:rPr>
          <w:rFonts w:ascii="Century Gothic" w:hAnsi="Century Gothic"/>
        </w:rPr>
        <w:t>La Cámara de Comercio de Bogotá es una entidad de naturaleza jurídica privada, sujeta al derecho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privado que por virtud de la ley cumple funciones públicas delegadas por el Estado y administra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recursos públicos.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 xml:space="preserve">En virtud de lo previsto en </w:t>
      </w:r>
      <w:r w:rsidRPr="00ED4119">
        <w:rPr>
          <w:rFonts w:ascii="Century Gothic" w:hAnsi="Century Gothic"/>
        </w:rPr>
        <w:lastRenderedPageBreak/>
        <w:t>el artículo 88 del Código de Comercio, el artículo 267 de la Carta Política,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la ley 42 de 1993, la ley 610 de 2000 y la ley 1474 de 2011, le corresponde a la Contraloría General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de la República, ejercer la vigilancia de la gestión fiscal que realiza. Vigila el ente de control que la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administración y disposición de los recursos públicos se realice en el marco de los principios de la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función administrativa y los propios de la gestión fiscal: eficiencia, eficacia, economía, transparencia,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legalidad, publicidad, entre otros.</w:t>
      </w:r>
    </w:p>
    <w:p w:rsidR="00ED4119" w:rsidRPr="00ED4119" w:rsidRDefault="00ED4119" w:rsidP="00ED4119">
      <w:pPr>
        <w:jc w:val="both"/>
        <w:rPr>
          <w:rFonts w:ascii="Century Gothic" w:hAnsi="Century Gothic"/>
        </w:rPr>
      </w:pPr>
      <w:r w:rsidRPr="00ED4119">
        <w:rPr>
          <w:rFonts w:ascii="Century Gothic" w:hAnsi="Century Gothic"/>
        </w:rPr>
        <w:t>Se circunscribe la vigilancia a la gestión de los recursos públicos y tiene como propósito evaluar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cómo administran las entidades controladas los recursos públicos y determinar el grado eficiencia y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eficacia en su manejo.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Dirección:</w:t>
      </w:r>
      <w:r w:rsidRPr="00ED4119">
        <w:rPr>
          <w:rFonts w:ascii="Century Gothic" w:hAnsi="Century Gothic"/>
        </w:rPr>
        <w:t xml:space="preserve"> Carrera 69 No 44-35, Bogotá - Colombia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Teléfono:</w:t>
      </w:r>
      <w:r w:rsidRPr="00ED4119">
        <w:rPr>
          <w:rFonts w:ascii="Century Gothic" w:hAnsi="Century Gothic"/>
        </w:rPr>
        <w:t xml:space="preserve"> 601 518 7000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>Email: cgr@contraloria.gov.co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Enlace al sitio web:</w:t>
      </w:r>
      <w:r w:rsidRPr="00ED4119">
        <w:rPr>
          <w:rFonts w:ascii="Century Gothic" w:hAnsi="Century Gothic"/>
        </w:rPr>
        <w:t xml:space="preserve"> https://www.contraloria.gov.co/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Tipo de control:</w:t>
      </w:r>
      <w:r w:rsidRPr="00ED4119">
        <w:rPr>
          <w:rFonts w:ascii="Century Gothic" w:hAnsi="Century Gothic"/>
        </w:rPr>
        <w:t xml:space="preserve"> Fiscal.</w:t>
      </w:r>
    </w:p>
    <w:p w:rsidR="00ED4119" w:rsidRPr="00ED4119" w:rsidRDefault="00ED4119" w:rsidP="00ED4119">
      <w:pPr>
        <w:rPr>
          <w:rFonts w:ascii="Century Gothic" w:hAnsi="Century Gothic"/>
          <w:b/>
        </w:rPr>
      </w:pPr>
      <w:r w:rsidRPr="00ED4119">
        <w:rPr>
          <w:rFonts w:ascii="Century Gothic" w:hAnsi="Century Gothic"/>
          <w:b/>
        </w:rPr>
        <w:t>3. ARCHIVO GENERAL DE LA NACIÓN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</w:rPr>
        <w:t>Ley 594 de 2000. Decreto 106 de 2015. El Archivo General de la Nación, vigila el cumplimiento de</w:t>
      </w:r>
      <w:r>
        <w:rPr>
          <w:rFonts w:ascii="Century Gothic" w:hAnsi="Century Gothic"/>
        </w:rPr>
        <w:t xml:space="preserve"> </w:t>
      </w:r>
      <w:r w:rsidRPr="00ED4119">
        <w:rPr>
          <w:rFonts w:ascii="Century Gothic" w:hAnsi="Century Gothic"/>
        </w:rPr>
        <w:t>la normativa relacionada con la función archivística.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Dirección:</w:t>
      </w:r>
      <w:r w:rsidRPr="00ED4119">
        <w:rPr>
          <w:rFonts w:ascii="Century Gothic" w:hAnsi="Century Gothic"/>
        </w:rPr>
        <w:t xml:space="preserve"> Carrera 6 No. 6 - 91 Bogotá D.C.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Teléfono:</w:t>
      </w:r>
      <w:r w:rsidRPr="00ED4119">
        <w:rPr>
          <w:rFonts w:ascii="Century Gothic" w:hAnsi="Century Gothic"/>
        </w:rPr>
        <w:t xml:space="preserve"> 601 328 2888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Email:</w:t>
      </w:r>
      <w:r w:rsidRPr="00ED4119">
        <w:rPr>
          <w:rFonts w:ascii="Century Gothic" w:hAnsi="Century Gothic"/>
        </w:rPr>
        <w:t xml:space="preserve"> contacto@archivogeneral.gov.co</w:t>
      </w:r>
    </w:p>
    <w:p w:rsidR="00ED4119" w:rsidRP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Enlace al sitio web</w:t>
      </w:r>
      <w:r w:rsidRPr="00ED4119">
        <w:rPr>
          <w:rFonts w:ascii="Century Gothic" w:hAnsi="Century Gothic"/>
        </w:rPr>
        <w:t>: https://www.archivogeneral.gov.co/</w:t>
      </w:r>
    </w:p>
    <w:p w:rsidR="00ED4119" w:rsidRDefault="00ED4119" w:rsidP="00ED4119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Tipo de control:</w:t>
      </w:r>
      <w:r w:rsidRPr="00ED4119">
        <w:rPr>
          <w:rFonts w:ascii="Century Gothic" w:hAnsi="Century Gothic"/>
        </w:rPr>
        <w:t xml:space="preserve"> Regulatorio.</w:t>
      </w:r>
    </w:p>
    <w:p w:rsidR="00ED4119" w:rsidRDefault="00ED4119" w:rsidP="00ED4119">
      <w:pPr>
        <w:rPr>
          <w:rFonts w:ascii="Century Gothic" w:hAnsi="Century Gothic"/>
        </w:rPr>
      </w:pPr>
    </w:p>
    <w:p w:rsidR="00ED4119" w:rsidRDefault="00ED4119" w:rsidP="00ED4119">
      <w:pPr>
        <w:rPr>
          <w:rFonts w:ascii="Century Gothic" w:hAnsi="Century Gothic"/>
        </w:rPr>
      </w:pPr>
    </w:p>
    <w:p w:rsidR="00ED4119" w:rsidRDefault="00ED4119" w:rsidP="00ED4119">
      <w:pPr>
        <w:rPr>
          <w:rFonts w:ascii="Century Gothic" w:hAnsi="Century Gothic"/>
        </w:rPr>
      </w:pPr>
    </w:p>
    <w:p w:rsidR="00ED4119" w:rsidRDefault="00ED4119" w:rsidP="00ED4119">
      <w:pPr>
        <w:rPr>
          <w:rFonts w:ascii="Century Gothic" w:hAnsi="Century Gothic"/>
        </w:rPr>
      </w:pPr>
    </w:p>
    <w:p w:rsidR="00ED4119" w:rsidRPr="00ED4119" w:rsidRDefault="00ED4119" w:rsidP="00ED4119">
      <w:pPr>
        <w:rPr>
          <w:rFonts w:asciiTheme="majorHAnsi" w:hAnsiTheme="majorHAnsi" w:cstheme="majorHAnsi"/>
        </w:rPr>
      </w:pPr>
    </w:p>
    <w:p w:rsidR="00ED4119" w:rsidRPr="00ED4119" w:rsidRDefault="00ED4119" w:rsidP="00ED4119">
      <w:pPr>
        <w:pStyle w:val="govco-text-header-1"/>
        <w:rPr>
          <w:rFonts w:ascii="Century Gothic" w:hAnsi="Century Gothic" w:cstheme="majorHAnsi"/>
          <w:b/>
        </w:rPr>
      </w:pPr>
      <w:r w:rsidRPr="00ED4119">
        <w:rPr>
          <w:rFonts w:ascii="Century Gothic" w:hAnsi="Century Gothic" w:cstheme="majorHAnsi"/>
          <w:b/>
        </w:rPr>
        <w:t>4. Procuraduría General de la Nación</w:t>
      </w:r>
    </w:p>
    <w:p w:rsidR="00ED4119" w:rsidRDefault="00ED4119" w:rsidP="00ED4119">
      <w:pPr>
        <w:spacing w:after="0" w:line="240" w:lineRule="auto"/>
        <w:rPr>
          <w:rFonts w:ascii="Century Gothic" w:eastAsia="Times New Roman" w:hAnsi="Century Gothic" w:cstheme="majorHAnsi"/>
          <w:sz w:val="24"/>
          <w:szCs w:val="24"/>
          <w:lang w:eastAsia="es-CO"/>
        </w:rPr>
      </w:pPr>
      <w:r w:rsidRPr="00ED4119">
        <w:rPr>
          <w:rFonts w:ascii="Century Gothic" w:eastAsia="Times New Roman" w:hAnsi="Century Gothic" w:cstheme="majorHAnsi"/>
          <w:b/>
          <w:sz w:val="24"/>
          <w:szCs w:val="24"/>
          <w:lang w:eastAsia="es-CO"/>
        </w:rPr>
        <w:t>Dirección:</w:t>
      </w:r>
      <w:r w:rsidRPr="00ED4119">
        <w:rPr>
          <w:rFonts w:ascii="Century Gothic" w:eastAsia="Times New Roman" w:hAnsi="Century Gothic" w:cstheme="majorHAnsi"/>
          <w:sz w:val="24"/>
          <w:szCs w:val="24"/>
          <w:lang w:eastAsia="es-CO"/>
        </w:rPr>
        <w:t xml:space="preserve"> Carrera 5 # 15-80, Bogotá D.C., Colombia </w:t>
      </w:r>
      <w:r w:rsidRPr="00ED4119">
        <w:rPr>
          <w:rFonts w:ascii="Century Gothic" w:eastAsia="Times New Roman" w:hAnsi="Century Gothic" w:cstheme="majorHAnsi"/>
          <w:sz w:val="24"/>
          <w:szCs w:val="24"/>
          <w:lang w:eastAsia="es-CO"/>
        </w:rPr>
        <w:br/>
      </w:r>
      <w:r w:rsidRPr="00ED4119">
        <w:rPr>
          <w:rFonts w:ascii="Century Gothic" w:eastAsia="Times New Roman" w:hAnsi="Century Gothic" w:cstheme="majorHAnsi"/>
          <w:b/>
          <w:sz w:val="24"/>
          <w:szCs w:val="24"/>
          <w:lang w:eastAsia="es-CO"/>
        </w:rPr>
        <w:t xml:space="preserve">Teléfono </w:t>
      </w:r>
      <w:r w:rsidRPr="00ED4119">
        <w:rPr>
          <w:rFonts w:ascii="Century Gothic" w:eastAsia="Times New Roman" w:hAnsi="Century Gothic" w:cstheme="majorHAnsi"/>
          <w:sz w:val="24"/>
          <w:szCs w:val="24"/>
          <w:lang w:eastAsia="es-CO"/>
        </w:rPr>
        <w:t>+57 601 587 8750</w:t>
      </w:r>
    </w:p>
    <w:p w:rsidR="00ED4119" w:rsidRDefault="00ED4119" w:rsidP="00ED4119">
      <w:pPr>
        <w:spacing w:after="0" w:line="240" w:lineRule="auto"/>
        <w:rPr>
          <w:rFonts w:ascii="Century Gothic" w:eastAsia="Times New Roman" w:hAnsi="Century Gothic" w:cstheme="majorHAnsi"/>
          <w:sz w:val="24"/>
          <w:szCs w:val="24"/>
          <w:lang w:eastAsia="es-CO"/>
        </w:rPr>
      </w:pPr>
      <w:r w:rsidRPr="00ED4119">
        <w:rPr>
          <w:rFonts w:ascii="Century Gothic" w:hAnsi="Century Gothic"/>
          <w:b/>
        </w:rPr>
        <w:t>Email:</w:t>
      </w:r>
      <w:r w:rsidR="00B573E8">
        <w:rPr>
          <w:rFonts w:ascii="Century Gothic" w:hAnsi="Century Gothic"/>
          <w:b/>
        </w:rPr>
        <w:t xml:space="preserve"> </w:t>
      </w:r>
      <w:hyperlink r:id="rId6" w:history="1">
        <w:r w:rsidRPr="00ED4119">
          <w:rPr>
            <w:rFonts w:ascii="Century Gothic" w:eastAsia="Times New Roman" w:hAnsi="Century Gothic" w:cstheme="majorHAnsi"/>
            <w:color w:val="0000FF"/>
            <w:sz w:val="24"/>
            <w:szCs w:val="24"/>
            <w:u w:val="single"/>
            <w:lang w:eastAsia="es-CO"/>
          </w:rPr>
          <w:t>procesosjudiciales@procuraduria.gov.co</w:t>
        </w:r>
      </w:hyperlink>
    </w:p>
    <w:p w:rsidR="00ED4119" w:rsidRDefault="00ED4119" w:rsidP="00ED4119">
      <w:pPr>
        <w:spacing w:after="0" w:line="240" w:lineRule="auto"/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Enlace al sitio web</w:t>
      </w:r>
      <w:r w:rsidRPr="00ED4119">
        <w:rPr>
          <w:rFonts w:ascii="Century Gothic" w:hAnsi="Century Gothic"/>
        </w:rPr>
        <w:t>:</w:t>
      </w:r>
      <w:r w:rsidRPr="00ED4119">
        <w:t xml:space="preserve"> </w:t>
      </w:r>
      <w:hyperlink r:id="rId7" w:history="1">
        <w:r w:rsidRPr="00F66C20">
          <w:rPr>
            <w:rStyle w:val="Hipervnculo"/>
            <w:rFonts w:ascii="Century Gothic" w:hAnsi="Century Gothic"/>
          </w:rPr>
          <w:t>www.procuraduria.gov.co</w:t>
        </w:r>
      </w:hyperlink>
    </w:p>
    <w:p w:rsidR="00B573E8" w:rsidRDefault="00B573E8" w:rsidP="00B573E8">
      <w:pPr>
        <w:rPr>
          <w:rFonts w:ascii="Century Gothic" w:hAnsi="Century Gothic"/>
        </w:rPr>
      </w:pPr>
      <w:r w:rsidRPr="00ED4119">
        <w:rPr>
          <w:rFonts w:ascii="Century Gothic" w:hAnsi="Century Gothic"/>
          <w:b/>
        </w:rPr>
        <w:t>Tipo de control:</w:t>
      </w:r>
      <w:r w:rsidRPr="00ED4119">
        <w:rPr>
          <w:rFonts w:ascii="Century Gothic" w:hAnsi="Century Gothic"/>
        </w:rPr>
        <w:t xml:space="preserve"> Regulatorio.</w:t>
      </w:r>
    </w:p>
    <w:p w:rsidR="00B573E8" w:rsidRDefault="00B573E8" w:rsidP="00ED4119">
      <w:pPr>
        <w:spacing w:after="0" w:line="240" w:lineRule="auto"/>
        <w:rPr>
          <w:rFonts w:ascii="Century Gothic" w:hAnsi="Century Gothic"/>
        </w:rPr>
      </w:pPr>
      <w:bookmarkStart w:id="0" w:name="_GoBack"/>
      <w:bookmarkEnd w:id="0"/>
    </w:p>
    <w:p w:rsidR="00ED4119" w:rsidRPr="00ED4119" w:rsidRDefault="00ED4119" w:rsidP="00ED4119">
      <w:pPr>
        <w:spacing w:after="0" w:line="240" w:lineRule="auto"/>
        <w:rPr>
          <w:rFonts w:ascii="Century Gothic" w:eastAsia="Times New Roman" w:hAnsi="Century Gothic" w:cstheme="majorHAnsi"/>
          <w:sz w:val="24"/>
          <w:szCs w:val="24"/>
          <w:lang w:eastAsia="es-CO"/>
        </w:rPr>
      </w:pPr>
    </w:p>
    <w:p w:rsidR="00ED4119" w:rsidRPr="00ED4119" w:rsidRDefault="00ED4119" w:rsidP="00ED4119">
      <w:pPr>
        <w:rPr>
          <w:rFonts w:ascii="Century Gothic" w:hAnsi="Century Gothic" w:cstheme="majorHAnsi"/>
        </w:rPr>
      </w:pPr>
    </w:p>
    <w:p w:rsidR="00ED4119" w:rsidRPr="00ED4119" w:rsidRDefault="00ED4119" w:rsidP="00ED4119">
      <w:pPr>
        <w:rPr>
          <w:rFonts w:asciiTheme="majorHAnsi" w:hAnsiTheme="majorHAnsi" w:cstheme="majorHAnsi"/>
        </w:rPr>
      </w:pPr>
    </w:p>
    <w:p w:rsidR="00ED4119" w:rsidRPr="00ED4119" w:rsidRDefault="00ED4119" w:rsidP="00ED4119">
      <w:pPr>
        <w:rPr>
          <w:rFonts w:asciiTheme="majorHAnsi" w:hAnsiTheme="majorHAnsi" w:cstheme="majorHAnsi"/>
        </w:rPr>
      </w:pPr>
    </w:p>
    <w:p w:rsidR="00ED4119" w:rsidRPr="00ED4119" w:rsidRDefault="00ED4119" w:rsidP="00ED4119">
      <w:pPr>
        <w:rPr>
          <w:rFonts w:asciiTheme="majorHAnsi" w:hAnsiTheme="majorHAnsi" w:cstheme="majorHAnsi"/>
        </w:rPr>
      </w:pPr>
    </w:p>
    <w:p w:rsidR="00ED4119" w:rsidRPr="00ED4119" w:rsidRDefault="00ED4119" w:rsidP="00ED4119">
      <w:pPr>
        <w:rPr>
          <w:rFonts w:asciiTheme="majorHAnsi" w:hAnsiTheme="majorHAnsi" w:cstheme="majorHAnsi"/>
        </w:rPr>
      </w:pPr>
    </w:p>
    <w:sectPr w:rsidR="00ED4119" w:rsidRPr="00ED411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225" w:rsidRDefault="00F14225" w:rsidP="00ED4119">
      <w:pPr>
        <w:spacing w:after="0" w:line="240" w:lineRule="auto"/>
      </w:pPr>
      <w:r>
        <w:separator/>
      </w:r>
    </w:p>
  </w:endnote>
  <w:endnote w:type="continuationSeparator" w:id="0">
    <w:p w:rsidR="00F14225" w:rsidRDefault="00F14225" w:rsidP="00ED4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119" w:rsidRDefault="00ED4119" w:rsidP="00ED4119">
    <w:pPr>
      <w:pStyle w:val="Piedepgina"/>
      <w:jc w:val="center"/>
    </w:pPr>
    <w:r>
      <w:rPr>
        <w:noProof/>
        <w:lang w:eastAsia="es-CO"/>
      </w:rPr>
      <w:drawing>
        <wp:inline distT="0" distB="0" distL="0" distR="0" wp14:anchorId="0B513B93" wp14:editId="2B3709A9">
          <wp:extent cx="6052087" cy="1074420"/>
          <wp:effectExtent l="0" t="0" r="635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5356" cy="107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225" w:rsidRDefault="00F14225" w:rsidP="00ED4119">
      <w:pPr>
        <w:spacing w:after="0" w:line="240" w:lineRule="auto"/>
      </w:pPr>
      <w:r>
        <w:separator/>
      </w:r>
    </w:p>
  </w:footnote>
  <w:footnote w:type="continuationSeparator" w:id="0">
    <w:p w:rsidR="00F14225" w:rsidRDefault="00F14225" w:rsidP="00ED4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119" w:rsidRDefault="00ED4119" w:rsidP="00ED4119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6D64A3F9" wp14:editId="4F623EAB">
          <wp:extent cx="3199114" cy="1370428"/>
          <wp:effectExtent l="0" t="0" r="1905" b="127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23813" cy="1381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119"/>
    <w:rsid w:val="00813F04"/>
    <w:rsid w:val="00B573E8"/>
    <w:rsid w:val="00DA2BF8"/>
    <w:rsid w:val="00ED4119"/>
    <w:rsid w:val="00F1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C747E1-1E40-4E6E-8477-82AA2DEF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41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4119"/>
  </w:style>
  <w:style w:type="paragraph" w:styleId="Piedepgina">
    <w:name w:val="footer"/>
    <w:basedOn w:val="Normal"/>
    <w:link w:val="PiedepginaCar"/>
    <w:uiPriority w:val="99"/>
    <w:unhideWhenUsed/>
    <w:rsid w:val="00ED41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4119"/>
  </w:style>
  <w:style w:type="paragraph" w:customStyle="1" w:styleId="govco-text-header-1">
    <w:name w:val="govco-text-header-1"/>
    <w:basedOn w:val="Normal"/>
    <w:rsid w:val="00ED4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govco-text-header-2">
    <w:name w:val="govco-text-header-2"/>
    <w:basedOn w:val="Normal"/>
    <w:rsid w:val="00ED4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ED4119"/>
    <w:rPr>
      <w:color w:val="0000FF"/>
      <w:u w:val="single"/>
    </w:rPr>
  </w:style>
  <w:style w:type="character" w:customStyle="1" w:styleId="govco-link-modal">
    <w:name w:val="govco-link-modal"/>
    <w:basedOn w:val="Fuentedeprrafopredeter"/>
    <w:rsid w:val="00ED4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5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5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07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6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55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18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78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74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rocuraduria.gov.c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cesosjudiciales@procuraduria.gov.co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475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COMUNICACIONES1</dc:creator>
  <cp:keywords/>
  <dc:description/>
  <cp:lastModifiedBy>COMUNICACIONES1</cp:lastModifiedBy>
  <cp:revision>1</cp:revision>
  <cp:lastPrinted>2023-08-29T20:34:00Z</cp:lastPrinted>
  <dcterms:created xsi:type="dcterms:W3CDTF">2023-08-29T20:20:00Z</dcterms:created>
  <dcterms:modified xsi:type="dcterms:W3CDTF">2023-08-29T20:35:00Z</dcterms:modified>
</cp:coreProperties>
</file>