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968D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410F503A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14:paraId="34C85A68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038592F9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3663FC07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36D5C6A1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54114A9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2CC258CF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1915A60E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4231E8A1" w14:textId="77777777" w:rsidR="00F607D3" w:rsidRDefault="002B1D2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14:paraId="0FB62FAC" w14:textId="77777777" w:rsidR="00F607D3" w:rsidRPr="009A431A" w:rsidRDefault="002B1D28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971A91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5B4FA263" w14:textId="0E34EF7F" w:rsidR="00F607D3" w:rsidRPr="00CD51A8" w:rsidRDefault="00F607D3" w:rsidP="008A657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2B1D28">
              <w:rPr>
                <w:rFonts w:ascii="Century Gothic" w:hAnsi="Century Gothic" w:cs="Tahoma"/>
                <w:lang w:val="es-MX"/>
              </w:rPr>
              <w:t xml:space="preserve">incluye en el procedimiento los cargos de: </w:t>
            </w:r>
            <w:r w:rsidR="00901951">
              <w:rPr>
                <w:rFonts w:ascii="Century Gothic" w:hAnsi="Century Gothic" w:cs="Tahoma"/>
                <w:lang w:val="es-MX"/>
              </w:rPr>
              <w:t>Gestor Jurídico y de Desarrollo Empresarial</w:t>
            </w:r>
            <w:r w:rsidR="002B1D28">
              <w:rPr>
                <w:rFonts w:ascii="Century Gothic" w:hAnsi="Century Gothic" w:cs="Tahoma"/>
                <w:lang w:val="es-MX"/>
              </w:rPr>
              <w:t xml:space="preserve">, </w:t>
            </w:r>
            <w:proofErr w:type="gramStart"/>
            <w:r w:rsidR="00464196">
              <w:rPr>
                <w:rFonts w:ascii="Century Gothic" w:hAnsi="Century Gothic" w:cs="Tahoma"/>
                <w:lang w:val="es-MX"/>
              </w:rPr>
              <w:t>Director</w:t>
            </w:r>
            <w:proofErr w:type="gramEnd"/>
            <w:r w:rsidR="00464196">
              <w:rPr>
                <w:rFonts w:ascii="Century Gothic" w:hAnsi="Century Gothic" w:cs="Tahoma"/>
                <w:lang w:val="es-MX"/>
              </w:rPr>
              <w:t xml:space="preserve"> del Centro</w:t>
            </w:r>
            <w:r w:rsidR="008A6573">
              <w:rPr>
                <w:rFonts w:ascii="Century Gothic" w:hAnsi="Century Gothic" w:cs="Tahoma"/>
                <w:lang w:val="es-MX"/>
              </w:rPr>
              <w:t xml:space="preserve">. Se actualiza el cargo de Cajero a Operador de Recaudo. </w:t>
            </w:r>
            <w:r w:rsidR="00F305EC">
              <w:rPr>
                <w:rFonts w:ascii="Century Gothic" w:hAnsi="Century Gothic" w:cs="Tahoma"/>
                <w:lang w:val="es-MX"/>
              </w:rPr>
              <w:t>Se realiza cambio en los cargos y responsables de la elaboración y revisión del procedimiento, así como los cargos de la lista de distribución.</w:t>
            </w:r>
          </w:p>
        </w:tc>
      </w:tr>
      <w:tr w:rsidR="005B2924" w:rsidRPr="00CD51A8" w14:paraId="78FE9BBA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6E9024C0" w14:textId="77777777" w:rsidR="005B2924" w:rsidRDefault="005B2924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655" w:type="dxa"/>
            <w:vAlign w:val="center"/>
          </w:tcPr>
          <w:p w14:paraId="2ADEC666" w14:textId="77777777" w:rsidR="005B2924" w:rsidRPr="007B391E" w:rsidRDefault="007B391E" w:rsidP="00F607D3">
            <w:pPr>
              <w:rPr>
                <w:rFonts w:ascii="Century Gothic" w:hAnsi="Century Gothic" w:cs="Tahoma"/>
                <w:b/>
                <w:lang w:val="es-MX"/>
              </w:rPr>
            </w:pPr>
            <w:r w:rsidRPr="007B391E">
              <w:rPr>
                <w:rFonts w:ascii="Century Gothic" w:hAnsi="Century Gothic" w:cs="Tahoma"/>
                <w:b/>
                <w:lang w:val="es-MX"/>
              </w:rPr>
              <w:t>Julio 24 de 2019</w:t>
            </w:r>
          </w:p>
          <w:p w14:paraId="3F6DF937" w14:textId="77777777" w:rsidR="007B391E" w:rsidRDefault="007B391E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elimina del procedimiento el uso del </w:t>
            </w:r>
            <w:proofErr w:type="spellStart"/>
            <w:r>
              <w:rPr>
                <w:rFonts w:ascii="Century Gothic" w:hAnsi="Century Gothic" w:cs="Tahoma"/>
                <w:lang w:val="es-MX"/>
              </w:rPr>
              <w:t>digiturno</w:t>
            </w:r>
            <w:proofErr w:type="spellEnd"/>
            <w:r>
              <w:rPr>
                <w:rFonts w:ascii="Century Gothic" w:hAnsi="Century Gothic" w:cs="Tahoma"/>
                <w:lang w:val="es-MX"/>
              </w:rPr>
              <w:t xml:space="preserve">. </w:t>
            </w:r>
          </w:p>
        </w:tc>
      </w:tr>
      <w:tr w:rsidR="00405A09" w:rsidRPr="00CD51A8" w14:paraId="38686A25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88BD328" w14:textId="18BCDC92" w:rsidR="00405A09" w:rsidRDefault="00405A0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19E465B5" w14:textId="0409CDD5" w:rsidR="00405A09" w:rsidRDefault="00405A09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0568FA">
              <w:rPr>
                <w:rFonts w:ascii="Century Gothic" w:hAnsi="Century Gothic" w:cs="Tahoma"/>
                <w:b/>
                <w:lang w:val="es-MX"/>
              </w:rPr>
              <w:t>6 de 2022</w:t>
            </w:r>
          </w:p>
          <w:p w14:paraId="1C180256" w14:textId="77777777" w:rsidR="000568FA" w:rsidRPr="00D8745E" w:rsidRDefault="000568FA" w:rsidP="000568FA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01E5F67" w14:textId="77777777" w:rsidR="000568FA" w:rsidRPr="00D8745E" w:rsidRDefault="000568FA" w:rsidP="000568FA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173070E9" w14:textId="34E29F13" w:rsidR="00405A09" w:rsidRPr="007B391E" w:rsidRDefault="000568FA" w:rsidP="00F607D3">
            <w:pPr>
              <w:rPr>
                <w:rFonts w:ascii="Century Gothic" w:hAnsi="Century Gothic" w:cs="Tahoma"/>
                <w:b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  <w:r w:rsidR="00043634">
              <w:rPr>
                <w:rFonts w:ascii="Century Gothic" w:hAnsi="Century Gothic" w:cs="Tahoma"/>
                <w:b/>
                <w:lang w:val="es-MX"/>
              </w:rPr>
              <w:t>.</w:t>
            </w:r>
          </w:p>
        </w:tc>
      </w:tr>
      <w:tr w:rsidR="00817634" w:rsidRPr="00CD51A8" w14:paraId="70F3C2B1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1078DEC0" w14:textId="5280FBC8" w:rsidR="00817634" w:rsidRDefault="00817634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14:paraId="1C5DBB5E" w14:textId="77777777" w:rsidR="00817634" w:rsidRDefault="00817634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Junio 21 de 2024</w:t>
            </w:r>
          </w:p>
          <w:p w14:paraId="3A593D3D" w14:textId="77777777" w:rsidR="00817634" w:rsidRPr="00D8745E" w:rsidRDefault="00817634" w:rsidP="00817634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08063389" w14:textId="01364C7F" w:rsidR="00817634" w:rsidRPr="00817634" w:rsidRDefault="00817634" w:rsidP="00F607D3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</w:tc>
      </w:tr>
      <w:tr w:rsidR="00FC149A" w:rsidRPr="00CD51A8" w14:paraId="16BEAE9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7E57FDAA" w14:textId="2C3DC99A" w:rsidR="00FC149A" w:rsidRDefault="00FC149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655" w:type="dxa"/>
            <w:vAlign w:val="center"/>
          </w:tcPr>
          <w:p w14:paraId="3BB92686" w14:textId="77777777" w:rsidR="00FC149A" w:rsidRDefault="00FC149A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Octubre 10 de 2024</w:t>
            </w:r>
          </w:p>
          <w:p w14:paraId="11541E36" w14:textId="77777777" w:rsidR="00FC149A" w:rsidRDefault="00FC149A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 w:rsidRPr="00FC149A">
              <w:rPr>
                <w:rFonts w:ascii="Century Gothic" w:hAnsi="Century Gothic" w:cs="Tahoma"/>
                <w:bCs/>
                <w:lang w:val="es-MX"/>
              </w:rPr>
              <w:t xml:space="preserve">Actualización de Logo </w:t>
            </w:r>
          </w:p>
          <w:p w14:paraId="10AB4D3C" w14:textId="6317B6C9" w:rsidR="00204D6F" w:rsidRPr="00FC149A" w:rsidRDefault="00204D6F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  <w:tr w:rsidR="00901951" w:rsidRPr="00CD51A8" w14:paraId="6621D818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390E39E9" w14:textId="3B6C1052" w:rsidR="00901951" w:rsidRDefault="00901951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655" w:type="dxa"/>
            <w:vAlign w:val="center"/>
          </w:tcPr>
          <w:p w14:paraId="2E8CF4D4" w14:textId="5025548C" w:rsidR="00901951" w:rsidRDefault="00EF59AF" w:rsidP="00901951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29 de abril de 2025</w:t>
            </w:r>
          </w:p>
          <w:p w14:paraId="71D07B94" w14:textId="1785F79C" w:rsidR="00EF59AF" w:rsidRPr="00EF59AF" w:rsidRDefault="00EF59AF" w:rsidP="00EF59AF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293595">
              <w:rPr>
                <w:rFonts w:ascii="Century Gothic" w:hAnsi="Century Gothic" w:cs="Tahoma"/>
                <w:lang w:val="es-MX"/>
              </w:rPr>
              <w:t>Actualización en la denominación de los cargos conforme a la Adenda</w:t>
            </w:r>
            <w:r>
              <w:rPr>
                <w:rFonts w:ascii="Century Gothic" w:hAnsi="Century Gothic" w:cs="Tahoma"/>
                <w:lang w:val="es-MX"/>
              </w:rPr>
              <w:t xml:space="preserve">, en Elaboró, Revisó, aprobó, lista de distribución y dentro del numeral 6 columna de </w:t>
            </w:r>
            <w:r>
              <w:rPr>
                <w:rFonts w:ascii="Century Gothic" w:hAnsi="Century Gothic" w:cs="Tahoma"/>
                <w:lang w:val="es-MX"/>
              </w:rPr>
              <w:t>responsables.</w:t>
            </w:r>
          </w:p>
        </w:tc>
      </w:tr>
    </w:tbl>
    <w:p w14:paraId="5AA92C39" w14:textId="77777777" w:rsidR="00467690" w:rsidRDefault="00467690" w:rsidP="00467690">
      <w:pPr>
        <w:rPr>
          <w:rFonts w:ascii="Century Gothic" w:hAnsi="Century Gothic" w:cs="Tahoma"/>
        </w:rPr>
      </w:pPr>
    </w:p>
    <w:p w14:paraId="27127813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67690" w14:paraId="03F59EDD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0A9543ED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1B5B9877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23F4DE01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817634" w14:paraId="68AD847D" w14:textId="77777777" w:rsidTr="006B66ED">
        <w:trPr>
          <w:cantSplit/>
        </w:trPr>
        <w:tc>
          <w:tcPr>
            <w:tcW w:w="3260" w:type="dxa"/>
            <w:vAlign w:val="center"/>
          </w:tcPr>
          <w:p w14:paraId="00DC373E" w14:textId="1DB704E0" w:rsidR="00817634" w:rsidRDefault="00817634" w:rsidP="0081763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2975" w:type="dxa"/>
            <w:vAlign w:val="center"/>
          </w:tcPr>
          <w:p w14:paraId="1B3FE66B" w14:textId="682C5C8E" w:rsidR="00817634" w:rsidRDefault="00817634" w:rsidP="0081763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FC149A">
              <w:rPr>
                <w:rFonts w:ascii="Century Gothic" w:hAnsi="Century Gothic" w:cs="Tahoma"/>
                <w:lang w:val="es-MX"/>
              </w:rPr>
              <w:t>Gonzalo Delgado Avendaño</w:t>
            </w:r>
          </w:p>
        </w:tc>
        <w:tc>
          <w:tcPr>
            <w:tcW w:w="3260" w:type="dxa"/>
            <w:vAlign w:val="center"/>
          </w:tcPr>
          <w:p w14:paraId="7D7766BE" w14:textId="252CC627" w:rsidR="00817634" w:rsidRPr="00B77EC2" w:rsidRDefault="00817634" w:rsidP="00817634">
            <w:pPr>
              <w:pStyle w:val="Textonotapie"/>
              <w:rPr>
                <w:rFonts w:ascii="Century Gothic" w:hAnsi="Century Gothic" w:cs="Tahoma"/>
                <w:color w:val="FF0000"/>
                <w:lang w:val="es-MX"/>
              </w:rPr>
            </w:pPr>
            <w:r w:rsidRPr="00EF59AF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EF59AF">
              <w:rPr>
                <w:rFonts w:ascii="Century Gothic" w:hAnsi="Century Gothic" w:cs="Tahoma"/>
                <w:lang w:val="es-MX"/>
              </w:rPr>
              <w:t xml:space="preserve"> </w:t>
            </w:r>
            <w:r w:rsidR="00CD4F19" w:rsidRPr="00EF59AF">
              <w:rPr>
                <w:rFonts w:ascii="Century Gothic" w:hAnsi="Century Gothic" w:cs="Tahoma"/>
                <w:lang w:val="es-MX"/>
              </w:rPr>
              <w:t>D</w:t>
            </w:r>
            <w:r w:rsidR="00B77EC2" w:rsidRPr="00EF59AF">
              <w:rPr>
                <w:rFonts w:ascii="Century Gothic" w:hAnsi="Century Gothic" w:cs="Tahoma"/>
                <w:lang w:val="es-MX"/>
              </w:rPr>
              <w:t xml:space="preserve">aniel Francisco Bernal </w:t>
            </w:r>
            <w:r w:rsidR="00EF59AF" w:rsidRPr="00EF59AF">
              <w:rPr>
                <w:rFonts w:ascii="Century Gothic" w:hAnsi="Century Gothic" w:cs="Tahoma"/>
                <w:lang w:val="es-MX"/>
              </w:rPr>
              <w:t>Rodríguez</w:t>
            </w:r>
          </w:p>
        </w:tc>
      </w:tr>
      <w:tr w:rsidR="00225921" w14:paraId="2EABCE76" w14:textId="77777777" w:rsidTr="006B66ED">
        <w:trPr>
          <w:cantSplit/>
        </w:trPr>
        <w:tc>
          <w:tcPr>
            <w:tcW w:w="3260" w:type="dxa"/>
            <w:vAlign w:val="center"/>
          </w:tcPr>
          <w:p w14:paraId="63C0A293" w14:textId="31E487A9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01951">
              <w:rPr>
                <w:rFonts w:ascii="Century Gothic" w:hAnsi="Century Gothic" w:cs="Tahoma"/>
                <w:lang w:val="es-MX"/>
              </w:rPr>
              <w:t>Líder I Asesoría Jurídica y Formación Empresarial</w:t>
            </w:r>
          </w:p>
        </w:tc>
        <w:tc>
          <w:tcPr>
            <w:tcW w:w="2975" w:type="dxa"/>
            <w:vAlign w:val="center"/>
          </w:tcPr>
          <w:p w14:paraId="7029C235" w14:textId="4D06D221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D4F19">
              <w:rPr>
                <w:rFonts w:ascii="Century Gothic" w:hAnsi="Century Gothic" w:cs="Tahoma"/>
                <w:lang w:val="es-MX"/>
              </w:rPr>
              <w:t>Coordinador MASC</w:t>
            </w:r>
          </w:p>
        </w:tc>
        <w:tc>
          <w:tcPr>
            <w:tcW w:w="3260" w:type="dxa"/>
            <w:vAlign w:val="center"/>
          </w:tcPr>
          <w:p w14:paraId="0D0C5F2C" w14:textId="6B4358B9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Director de Asuntos Jurídicos</w:t>
            </w:r>
            <w:r w:rsidR="00CD4F19">
              <w:rPr>
                <w:rFonts w:ascii="Century Gothic" w:hAnsi="Century Gothic" w:cs="Tahoma"/>
                <w:lang w:val="es-MX"/>
              </w:rPr>
              <w:t>.</w:t>
            </w:r>
          </w:p>
        </w:tc>
      </w:tr>
      <w:tr w:rsidR="001F7D98" w14:paraId="74695708" w14:textId="77777777" w:rsidTr="00B4026C">
        <w:trPr>
          <w:cantSplit/>
          <w:trHeight w:val="70"/>
        </w:trPr>
        <w:tc>
          <w:tcPr>
            <w:tcW w:w="3260" w:type="dxa"/>
          </w:tcPr>
          <w:p w14:paraId="101C568B" w14:textId="2388708C" w:rsidR="001F7D98" w:rsidRPr="00EF59AF" w:rsidRDefault="001F7D98" w:rsidP="001F7D98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EF59AF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EF59AF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EF59AF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EF59AF">
              <w:rPr>
                <w:rFonts w:ascii="Century Gothic" w:hAnsi="Century Gothic" w:cs="Tahoma"/>
                <w:lang w:val="es-MX"/>
              </w:rPr>
              <w:t xml:space="preserve"> 2</w:t>
            </w:r>
            <w:r w:rsidR="00EF59AF">
              <w:rPr>
                <w:rFonts w:ascii="Century Gothic" w:hAnsi="Century Gothic" w:cs="Tahoma"/>
                <w:lang w:val="es-MX"/>
              </w:rPr>
              <w:t>9</w:t>
            </w:r>
            <w:r w:rsidRPr="00EF59AF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975" w:type="dxa"/>
          </w:tcPr>
          <w:p w14:paraId="2A30C586" w14:textId="2A83522E" w:rsidR="001F7D98" w:rsidRPr="00EF59AF" w:rsidRDefault="001F7D98" w:rsidP="001F7D98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EF59AF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EF59AF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EF59AF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EF59AF">
              <w:rPr>
                <w:rFonts w:ascii="Century Gothic" w:hAnsi="Century Gothic" w:cs="Tahoma"/>
                <w:lang w:val="es-MX"/>
              </w:rPr>
              <w:t xml:space="preserve"> 2</w:t>
            </w:r>
            <w:r w:rsidR="00EF59AF">
              <w:rPr>
                <w:rFonts w:ascii="Century Gothic" w:hAnsi="Century Gothic" w:cs="Tahoma"/>
                <w:lang w:val="es-MX"/>
              </w:rPr>
              <w:t>9</w:t>
            </w:r>
            <w:r w:rsidRPr="00EF59AF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3260" w:type="dxa"/>
          </w:tcPr>
          <w:p w14:paraId="2C1673E8" w14:textId="5D44F326" w:rsidR="001F7D98" w:rsidRPr="00EF59AF" w:rsidRDefault="001F7D98" w:rsidP="001F7D98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EF59AF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EF59AF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EF59AF">
              <w:rPr>
                <w:rFonts w:ascii="Century Gothic" w:hAnsi="Century Gothic" w:cs="Tahoma"/>
                <w:lang w:val="es-MX"/>
              </w:rPr>
              <w:t>Abril</w:t>
            </w:r>
            <w:proofErr w:type="gramEnd"/>
            <w:r w:rsidRPr="00EF59AF">
              <w:rPr>
                <w:rFonts w:ascii="Century Gothic" w:hAnsi="Century Gothic" w:cs="Tahoma"/>
                <w:lang w:val="es-MX"/>
              </w:rPr>
              <w:t xml:space="preserve"> 2</w:t>
            </w:r>
            <w:r w:rsidR="00EF59AF">
              <w:rPr>
                <w:rFonts w:ascii="Century Gothic" w:hAnsi="Century Gothic" w:cs="Tahoma"/>
                <w:lang w:val="es-MX"/>
              </w:rPr>
              <w:t>9</w:t>
            </w:r>
            <w:r w:rsidRPr="00EF59AF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</w:tr>
    </w:tbl>
    <w:p w14:paraId="083CC040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541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6"/>
        <w:gridCol w:w="853"/>
        <w:gridCol w:w="4434"/>
      </w:tblGrid>
      <w:tr w:rsidR="00971A91" w:rsidRPr="0089113A" w14:paraId="53C446D3" w14:textId="77777777" w:rsidTr="005B2924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1DA811EC" w14:textId="77777777" w:rsidR="00971A91" w:rsidRPr="0089113A" w:rsidRDefault="00971A91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971A91" w:rsidRPr="0089113A" w14:paraId="0C60231D" w14:textId="77777777" w:rsidTr="005B2924">
        <w:trPr>
          <w:cantSplit/>
          <w:trHeight w:val="219"/>
        </w:trPr>
        <w:tc>
          <w:tcPr>
            <w:tcW w:w="262" w:type="pct"/>
            <w:shd w:val="clear" w:color="auto" w:fill="E0E0E0"/>
            <w:vAlign w:val="center"/>
          </w:tcPr>
          <w:p w14:paraId="2BDE006B" w14:textId="77777777" w:rsidR="00971A91" w:rsidRPr="0089113A" w:rsidRDefault="00971A91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1974" w:type="pct"/>
            <w:shd w:val="clear" w:color="auto" w:fill="E0E0E0"/>
            <w:vAlign w:val="center"/>
          </w:tcPr>
          <w:p w14:paraId="7EC2D4B2" w14:textId="77777777" w:rsidR="00971A91" w:rsidRPr="0089113A" w:rsidRDefault="00971A91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46" w:type="pct"/>
            <w:shd w:val="clear" w:color="auto" w:fill="E0E0E0"/>
            <w:vAlign w:val="center"/>
          </w:tcPr>
          <w:p w14:paraId="1366A9FA" w14:textId="77777777" w:rsidR="00971A91" w:rsidRPr="0089113A" w:rsidRDefault="00971A91" w:rsidP="009E7858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318" w:type="pct"/>
            <w:shd w:val="clear" w:color="auto" w:fill="E0E0E0"/>
            <w:vAlign w:val="center"/>
          </w:tcPr>
          <w:p w14:paraId="6493924B" w14:textId="77777777" w:rsidR="00971A91" w:rsidRPr="0089113A" w:rsidRDefault="00971A91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971A91" w:rsidRPr="0089113A" w14:paraId="2063CCD9" w14:textId="77777777" w:rsidTr="005B2924">
        <w:trPr>
          <w:cantSplit/>
          <w:trHeight w:val="281"/>
        </w:trPr>
        <w:tc>
          <w:tcPr>
            <w:tcW w:w="262" w:type="pct"/>
            <w:vAlign w:val="center"/>
          </w:tcPr>
          <w:p w14:paraId="5F2FB72C" w14:textId="77777777" w:rsidR="00971A91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1974" w:type="pct"/>
            <w:vAlign w:val="center"/>
          </w:tcPr>
          <w:p w14:paraId="4492F032" w14:textId="77777777" w:rsidR="00971A91" w:rsidRPr="00EE1C96" w:rsidRDefault="00971A91" w:rsidP="009E7858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5C7A85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54158681" w14:textId="77777777" w:rsidR="00971A91" w:rsidRPr="005C7A85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318" w:type="pct"/>
            <w:vAlign w:val="center"/>
          </w:tcPr>
          <w:p w14:paraId="58D5E29F" w14:textId="3E817800" w:rsidR="00971A91" w:rsidRPr="005C7A85" w:rsidRDefault="00225921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Coordinador MASC</w:t>
            </w:r>
          </w:p>
        </w:tc>
      </w:tr>
      <w:tr w:rsidR="00971A91" w:rsidRPr="0089113A" w14:paraId="30F32207" w14:textId="77777777" w:rsidTr="005B2924">
        <w:trPr>
          <w:cantSplit/>
          <w:trHeight w:val="281"/>
        </w:trPr>
        <w:tc>
          <w:tcPr>
            <w:tcW w:w="262" w:type="pct"/>
            <w:vAlign w:val="center"/>
          </w:tcPr>
          <w:p w14:paraId="2FB66791" w14:textId="77777777" w:rsidR="00971A91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1974" w:type="pct"/>
            <w:vAlign w:val="center"/>
          </w:tcPr>
          <w:p w14:paraId="03AFEB23" w14:textId="3BD9C764" w:rsidR="00971A91" w:rsidRPr="00EE1C96" w:rsidRDefault="00464196" w:rsidP="009E7858">
            <w:pPr>
              <w:jc w:val="both"/>
              <w:rPr>
                <w:rFonts w:ascii="Century Gothic" w:hAnsi="Century Gothic" w:cs="Tahoma"/>
                <w:highlight w:val="cyan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del Centro</w:t>
            </w:r>
            <w:r w:rsidR="00971A91" w:rsidRPr="005C7A85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EDC5FCE" w14:textId="77777777" w:rsidR="00971A91" w:rsidRPr="005C7A85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37541D41" w14:textId="3E8A7835" w:rsidR="00971A91" w:rsidRPr="00EF59AF" w:rsidRDefault="005736E5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EF59AF">
              <w:rPr>
                <w:rFonts w:ascii="Century Gothic" w:hAnsi="Century Gothic" w:cs="Tahoma"/>
                <w:lang w:val="es-MX"/>
              </w:rPr>
              <w:t>Líder I Asesoría Jurídica y Formación Empresarial</w:t>
            </w:r>
          </w:p>
        </w:tc>
      </w:tr>
      <w:tr w:rsidR="00971A91" w:rsidRPr="0089113A" w14:paraId="0A0E8137" w14:textId="77777777" w:rsidTr="005B2924">
        <w:trPr>
          <w:cantSplit/>
          <w:trHeight w:val="281"/>
        </w:trPr>
        <w:tc>
          <w:tcPr>
            <w:tcW w:w="262" w:type="pct"/>
            <w:vAlign w:val="center"/>
          </w:tcPr>
          <w:p w14:paraId="7A6D3118" w14:textId="77777777" w:rsidR="00971A91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1974" w:type="pct"/>
            <w:vAlign w:val="center"/>
          </w:tcPr>
          <w:p w14:paraId="4A015BA8" w14:textId="38FC5256" w:rsidR="00971A91" w:rsidRPr="00EE1C96" w:rsidRDefault="00901951" w:rsidP="009E7858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EF59AF">
              <w:rPr>
                <w:rFonts w:ascii="Century Gothic" w:hAnsi="Century Gothic" w:cs="Arial"/>
                <w:lang w:val="es-MX"/>
              </w:rPr>
              <w:t>Gestor Jurídico y de Desarrollo Empresarial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1261246" w14:textId="77777777" w:rsidR="00971A91" w:rsidRPr="00EE1C96" w:rsidRDefault="00971A91" w:rsidP="009E7858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  <w:r w:rsidRPr="00EF59AF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1C97E3E5" w14:textId="77777777" w:rsidR="00971A91" w:rsidRPr="00EF59AF" w:rsidRDefault="00971A91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highlight w:val="cyan"/>
                <w:lang w:val="es-MX"/>
              </w:rPr>
            </w:pPr>
            <w:r w:rsidRPr="00EF59AF">
              <w:rPr>
                <w:rFonts w:ascii="Century Gothic" w:hAnsi="Century Gothic" w:cs="Arial"/>
                <w:lang w:val="es-MX"/>
              </w:rPr>
              <w:t xml:space="preserve">Profesional II Gestión de Calidad </w:t>
            </w:r>
          </w:p>
        </w:tc>
      </w:tr>
    </w:tbl>
    <w:p w14:paraId="697FD738" w14:textId="77777777" w:rsidR="005B2924" w:rsidRDefault="005B2924" w:rsidP="005B2924">
      <w:pPr>
        <w:pStyle w:val="Textoindependiente"/>
        <w:tabs>
          <w:tab w:val="left" w:pos="142"/>
        </w:tabs>
        <w:spacing w:before="360" w:after="240"/>
        <w:ind w:left="644"/>
        <w:jc w:val="both"/>
        <w:rPr>
          <w:rFonts w:ascii="Century Gothic" w:hAnsi="Century Gothic" w:cs="Arial"/>
          <w:b/>
        </w:rPr>
      </w:pPr>
    </w:p>
    <w:p w14:paraId="6870810B" w14:textId="77777777" w:rsidR="005B2924" w:rsidRDefault="005B2924" w:rsidP="005B2924">
      <w:pPr>
        <w:pStyle w:val="Textoindependiente"/>
        <w:tabs>
          <w:tab w:val="left" w:pos="142"/>
        </w:tabs>
        <w:spacing w:before="360" w:after="240"/>
        <w:ind w:left="644"/>
        <w:jc w:val="both"/>
        <w:rPr>
          <w:rFonts w:ascii="Century Gothic" w:hAnsi="Century Gothic" w:cs="Arial"/>
          <w:b/>
        </w:rPr>
      </w:pPr>
    </w:p>
    <w:p w14:paraId="15F7B58C" w14:textId="77777777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14:paraId="5AFC7361" w14:textId="77777777" w:rsidR="002C6292" w:rsidRPr="001B3E5F" w:rsidRDefault="001B3E5F" w:rsidP="001B3E5F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B3E5F">
        <w:rPr>
          <w:rFonts w:ascii="Century Gothic" w:hAnsi="Century Gothic" w:cs="Arial"/>
        </w:rPr>
        <w:t xml:space="preserve">Prestar servicios de amigable composición Como método alternativo de solución de conflictos a través </w:t>
      </w:r>
      <w:r w:rsidR="00CB7A90" w:rsidRPr="001B3E5F">
        <w:rPr>
          <w:rFonts w:ascii="Century Gothic" w:hAnsi="Century Gothic" w:cs="Arial"/>
        </w:rPr>
        <w:t>del cual, dos</w:t>
      </w:r>
      <w:r w:rsidRPr="001B3E5F">
        <w:rPr>
          <w:rFonts w:ascii="Century Gothic" w:hAnsi="Century Gothic" w:cs="Arial"/>
        </w:rPr>
        <w:t xml:space="preserve"> </w:t>
      </w:r>
      <w:r w:rsidR="00CB7A90" w:rsidRPr="001B3E5F">
        <w:rPr>
          <w:rFonts w:ascii="Century Gothic" w:hAnsi="Century Gothic" w:cs="Arial"/>
        </w:rPr>
        <w:t>o más</w:t>
      </w:r>
      <w:r w:rsidRPr="001B3E5F">
        <w:rPr>
          <w:rFonts w:ascii="Century Gothic" w:hAnsi="Century Gothic" w:cs="Arial"/>
        </w:rPr>
        <w:t xml:space="preserve"> personas, sean </w:t>
      </w:r>
      <w:r w:rsidR="00CB7A90" w:rsidRPr="001B3E5F">
        <w:rPr>
          <w:rFonts w:ascii="Century Gothic" w:hAnsi="Century Gothic" w:cs="Arial"/>
        </w:rPr>
        <w:t>estas naturales</w:t>
      </w:r>
      <w:r w:rsidRPr="001B3E5F">
        <w:rPr>
          <w:rFonts w:ascii="Century Gothic" w:hAnsi="Century Gothic" w:cs="Arial"/>
        </w:rPr>
        <w:t xml:space="preserve"> o jurídicas de </w:t>
      </w:r>
      <w:r w:rsidR="00CB7A90" w:rsidRPr="001B3E5F">
        <w:rPr>
          <w:rFonts w:ascii="Century Gothic" w:hAnsi="Century Gothic" w:cs="Arial"/>
        </w:rPr>
        <w:t>derecho público, confían a un</w:t>
      </w:r>
      <w:r w:rsidRPr="001B3E5F">
        <w:rPr>
          <w:rFonts w:ascii="Century Gothic" w:hAnsi="Century Gothic" w:cs="Arial"/>
        </w:rPr>
        <w:t xml:space="preserve"> tercero, que se denomina amigable componedor, la facultad de definir, con fuerza vinculante para las partes, una controversia contractual de libre disposición.</w:t>
      </w:r>
    </w:p>
    <w:p w14:paraId="21E340EF" w14:textId="77777777" w:rsidR="001B3E5F" w:rsidRDefault="00742E8A" w:rsidP="001B3E5F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263ECB7F" w14:textId="77777777" w:rsidR="002C6292" w:rsidRPr="001B3E5F" w:rsidRDefault="001B3E5F" w:rsidP="001B3E5F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1B3E5F">
        <w:rPr>
          <w:rFonts w:ascii="Century Gothic" w:hAnsi="Century Gothic" w:cs="Arial"/>
        </w:rPr>
        <w:t xml:space="preserve">Centro de </w:t>
      </w:r>
      <w:r w:rsidR="00FE79BB" w:rsidRPr="001B3E5F">
        <w:rPr>
          <w:rFonts w:ascii="Century Gothic" w:hAnsi="Century Gothic" w:cs="Arial"/>
        </w:rPr>
        <w:t>Conciliación</w:t>
      </w:r>
      <w:r w:rsidRPr="001B3E5F">
        <w:rPr>
          <w:rFonts w:ascii="Century Gothic" w:hAnsi="Century Gothic" w:cs="Arial"/>
        </w:rPr>
        <w:t>, Arbitraje y Amigable Composición</w:t>
      </w:r>
    </w:p>
    <w:p w14:paraId="5211833A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04E43BD7" w14:textId="77777777" w:rsidR="0006569C" w:rsidRDefault="0006569C" w:rsidP="0006569C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06569C">
        <w:rPr>
          <w:rFonts w:ascii="Century Gothic" w:hAnsi="Century Gothic" w:cs="Arial"/>
          <w:b/>
        </w:rPr>
        <w:t xml:space="preserve">Amigable Composición: </w:t>
      </w:r>
      <w:r w:rsidRPr="0006569C">
        <w:rPr>
          <w:rFonts w:ascii="Century Gothic" w:hAnsi="Century Gothic" w:cs="Arial"/>
        </w:rPr>
        <w:t xml:space="preserve">La amigable composición es un mecanismo alternativo de solución de conflictos, a través </w:t>
      </w:r>
      <w:r w:rsidR="00CB7A90" w:rsidRPr="0006569C">
        <w:rPr>
          <w:rFonts w:ascii="Century Gothic" w:hAnsi="Century Gothic" w:cs="Arial"/>
        </w:rPr>
        <w:t>del cual, dos</w:t>
      </w:r>
      <w:r w:rsidRPr="0006569C">
        <w:rPr>
          <w:rFonts w:ascii="Century Gothic" w:hAnsi="Century Gothic" w:cs="Arial"/>
        </w:rPr>
        <w:t xml:space="preserve"> </w:t>
      </w:r>
      <w:r w:rsidR="00CB7A90" w:rsidRPr="0006569C">
        <w:rPr>
          <w:rFonts w:ascii="Century Gothic" w:hAnsi="Century Gothic" w:cs="Arial"/>
        </w:rPr>
        <w:t>o más</w:t>
      </w:r>
      <w:r w:rsidRPr="0006569C">
        <w:rPr>
          <w:rFonts w:ascii="Century Gothic" w:hAnsi="Century Gothic" w:cs="Arial"/>
        </w:rPr>
        <w:t xml:space="preserve"> personas, sean </w:t>
      </w:r>
      <w:r w:rsidR="00CB7A90" w:rsidRPr="0006569C">
        <w:rPr>
          <w:rFonts w:ascii="Century Gothic" w:hAnsi="Century Gothic" w:cs="Arial"/>
        </w:rPr>
        <w:t>estas naturales</w:t>
      </w:r>
      <w:r w:rsidRPr="0006569C">
        <w:rPr>
          <w:rFonts w:ascii="Century Gothic" w:hAnsi="Century Gothic" w:cs="Arial"/>
        </w:rPr>
        <w:t xml:space="preserve"> o jurídicas de </w:t>
      </w:r>
      <w:r w:rsidR="00CB7A90" w:rsidRPr="0006569C">
        <w:rPr>
          <w:rFonts w:ascii="Century Gothic" w:hAnsi="Century Gothic" w:cs="Arial"/>
        </w:rPr>
        <w:t>derecho público, confían a un</w:t>
      </w:r>
      <w:r w:rsidRPr="0006569C">
        <w:rPr>
          <w:rFonts w:ascii="Century Gothic" w:hAnsi="Century Gothic" w:cs="Arial"/>
        </w:rPr>
        <w:t xml:space="preserve"> tercero, que se denomina amigable componedor, la facultad de definir, con fuerza vinculante para las partes, una controversia contractual de libre disposición.</w:t>
      </w:r>
    </w:p>
    <w:p w14:paraId="42D84C92" w14:textId="77777777" w:rsidR="0006569C" w:rsidRPr="00D54372" w:rsidRDefault="0006569C" w:rsidP="0006569C">
      <w:pPr>
        <w:pStyle w:val="Textoindependiente"/>
        <w:tabs>
          <w:tab w:val="left" w:pos="142"/>
        </w:tabs>
        <w:spacing w:before="360" w:after="240"/>
        <w:jc w:val="both"/>
        <w:rPr>
          <w:rFonts w:ascii="Century Gothic" w:hAnsi="Century Gothic" w:cs="Arial"/>
          <w:b/>
        </w:rPr>
      </w:pPr>
      <w:r w:rsidRPr="0006569C">
        <w:rPr>
          <w:rFonts w:ascii="Century Gothic" w:hAnsi="Century Gothic" w:cs="Arial"/>
          <w:b/>
        </w:rPr>
        <w:t xml:space="preserve">Amigable componedor: </w:t>
      </w:r>
      <w:r w:rsidRPr="0006569C">
        <w:rPr>
          <w:rFonts w:ascii="Century Gothic" w:hAnsi="Century Gothic" w:cs="Arial"/>
        </w:rPr>
        <w:t>El amigable componedor actúa por mandato de las partes involucradas, y su gestión estará encaminada a determinar si existe incumplimiento en las obligaciones derivadas del contrato que han sometido a su conocimiento. Es tarea del amigable componedor, identificar y decidir sobre los conflictos de responsabilidad que existan entre las partes, y en consecuencia su decisión, tendrá fuerza vinculante.</w:t>
      </w:r>
    </w:p>
    <w:p w14:paraId="7EFE4FFB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7D4F534E" w14:textId="77777777" w:rsidR="008F161C" w:rsidRDefault="008F161C" w:rsidP="008F161C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8F161C">
        <w:rPr>
          <w:rFonts w:ascii="Century Gothic" w:eastAsia="Calibri" w:hAnsi="Century Gothic" w:cs="Arial"/>
          <w:color w:val="0000FF"/>
        </w:rPr>
        <w:t>FOR-MASC-</w:t>
      </w:r>
      <w:proofErr w:type="gramStart"/>
      <w:r w:rsidRPr="008F161C">
        <w:rPr>
          <w:rFonts w:ascii="Century Gothic" w:eastAsia="Calibri" w:hAnsi="Century Gothic" w:cs="Arial"/>
          <w:color w:val="0000FF"/>
        </w:rPr>
        <w:t xml:space="preserve">05 </w:t>
      </w:r>
      <w:r>
        <w:rPr>
          <w:rFonts w:ascii="Century Gothic" w:eastAsia="Calibri" w:hAnsi="Century Gothic" w:cs="Arial"/>
          <w:color w:val="0000FF"/>
        </w:rPr>
        <w:t xml:space="preserve"> L</w:t>
      </w:r>
      <w:r w:rsidRPr="008F161C">
        <w:rPr>
          <w:rFonts w:ascii="Century Gothic" w:eastAsia="Calibri" w:hAnsi="Century Gothic" w:cs="Arial"/>
          <w:color w:val="0000FF"/>
        </w:rPr>
        <w:t>ibro</w:t>
      </w:r>
      <w:proofErr w:type="gramEnd"/>
      <w:r w:rsidRPr="008F161C">
        <w:rPr>
          <w:rFonts w:ascii="Century Gothic" w:eastAsia="Calibri" w:hAnsi="Century Gothic" w:cs="Arial"/>
          <w:color w:val="0000FF"/>
        </w:rPr>
        <w:t xml:space="preserve"> </w:t>
      </w:r>
      <w:r>
        <w:rPr>
          <w:rFonts w:ascii="Century Gothic" w:eastAsia="Calibri" w:hAnsi="Century Gothic" w:cs="Arial"/>
          <w:color w:val="0000FF"/>
        </w:rPr>
        <w:t>Oficial de amigables componedores</w:t>
      </w:r>
      <w:r w:rsidRPr="008F161C">
        <w:rPr>
          <w:rFonts w:ascii="Century Gothic" w:eastAsia="Calibri" w:hAnsi="Century Gothic" w:cs="Arial"/>
          <w:color w:val="0000FF"/>
        </w:rPr>
        <w:t xml:space="preserve"> </w:t>
      </w:r>
    </w:p>
    <w:p w14:paraId="673BD2BE" w14:textId="77777777" w:rsidR="00AF65A0" w:rsidRDefault="00AF65A0" w:rsidP="008F161C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716293">
        <w:rPr>
          <w:rFonts w:ascii="Century Gothic" w:hAnsi="Century Gothic"/>
          <w:color w:val="0000FF"/>
        </w:rPr>
        <w:t xml:space="preserve">FOR-CMC-22 </w:t>
      </w:r>
      <w:r>
        <w:rPr>
          <w:rFonts w:ascii="Century Gothic" w:hAnsi="Century Gothic"/>
          <w:color w:val="0000FF"/>
        </w:rPr>
        <w:t>Tabla d</w:t>
      </w:r>
      <w:r w:rsidRPr="00716293">
        <w:rPr>
          <w:rFonts w:ascii="Century Gothic" w:hAnsi="Century Gothic"/>
          <w:color w:val="0000FF"/>
        </w:rPr>
        <w:t>e Retención Documental</w:t>
      </w:r>
    </w:p>
    <w:p w14:paraId="7D10A327" w14:textId="77777777" w:rsidR="00C837AF" w:rsidRDefault="00C837AF" w:rsidP="008F161C">
      <w:pPr>
        <w:pStyle w:val="Textoindependiente2"/>
        <w:spacing w:after="0" w:line="240" w:lineRule="auto"/>
        <w:rPr>
          <w:rFonts w:ascii="Century Gothic" w:hAnsi="Century Gothic"/>
          <w:color w:val="0000FF"/>
          <w:highlight w:val="yellow"/>
        </w:rPr>
      </w:pPr>
      <w:r>
        <w:rPr>
          <w:rFonts w:ascii="Century Gothic" w:hAnsi="Century Gothic"/>
          <w:color w:val="0000FF"/>
        </w:rPr>
        <w:t>Expediente</w:t>
      </w:r>
      <w:r w:rsidRPr="00040BF0">
        <w:rPr>
          <w:rFonts w:ascii="Century Gothic" w:hAnsi="Century Gothic"/>
          <w:color w:val="0000FF"/>
          <w:highlight w:val="yellow"/>
        </w:rPr>
        <w:t xml:space="preserve"> </w:t>
      </w:r>
    </w:p>
    <w:p w14:paraId="02501119" w14:textId="77777777" w:rsidR="00040BF0" w:rsidRDefault="00040BF0" w:rsidP="008F161C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04633D">
        <w:rPr>
          <w:rFonts w:ascii="Century Gothic" w:hAnsi="Century Gothic"/>
          <w:color w:val="0000FF"/>
        </w:rPr>
        <w:t>Acta final</w:t>
      </w:r>
    </w:p>
    <w:p w14:paraId="54AC9E5C" w14:textId="77777777" w:rsidR="00E4024A" w:rsidRDefault="008F161C" w:rsidP="008F161C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eastAsia="Calibri" w:hAnsi="Century Gothic" w:cs="Arial"/>
          <w:color w:val="0000FF"/>
        </w:rPr>
        <w:t>O</w:t>
      </w:r>
      <w:r w:rsidRPr="008F161C">
        <w:rPr>
          <w:rFonts w:ascii="Century Gothic" w:eastAsia="Calibri" w:hAnsi="Century Gothic" w:cs="Arial"/>
          <w:color w:val="0000FF"/>
        </w:rPr>
        <w:t>ficios de notificación</w:t>
      </w:r>
    </w:p>
    <w:p w14:paraId="7D4404B0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3574DFE8" w14:textId="0512D709" w:rsidR="00132DA9" w:rsidRDefault="00132DA9" w:rsidP="00132DA9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132DA9">
        <w:rPr>
          <w:rFonts w:ascii="Century Gothic" w:hAnsi="Century Gothic" w:cs="Arial"/>
        </w:rPr>
        <w:t>N/A</w:t>
      </w:r>
    </w:p>
    <w:p w14:paraId="3ED039CE" w14:textId="399DFE35" w:rsidR="000006A0" w:rsidRDefault="000006A0" w:rsidP="00132DA9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</w:p>
    <w:p w14:paraId="7F9BD524" w14:textId="77777777" w:rsidR="00EF59AF" w:rsidRDefault="00EF59AF" w:rsidP="00132DA9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</w:p>
    <w:p w14:paraId="104F7590" w14:textId="77777777" w:rsidR="008C74A6" w:rsidRDefault="008C74A6" w:rsidP="00132DA9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</w:p>
    <w:p w14:paraId="5FBE8672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DESCRIPCIÓN DE ACTIVIDADES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82"/>
        <w:gridCol w:w="2551"/>
        <w:gridCol w:w="3114"/>
      </w:tblGrid>
      <w:tr w:rsidR="00DE3714" w:rsidRPr="00C25840" w14:paraId="3306D803" w14:textId="77777777" w:rsidTr="00865339">
        <w:trPr>
          <w:trHeight w:val="295"/>
          <w:tblHeader/>
          <w:jc w:val="center"/>
        </w:trPr>
        <w:tc>
          <w:tcPr>
            <w:tcW w:w="709" w:type="dxa"/>
            <w:shd w:val="clear" w:color="auto" w:fill="1F497D" w:themeFill="text2"/>
            <w:vAlign w:val="center"/>
          </w:tcPr>
          <w:p w14:paraId="2B38A1FA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2982" w:type="dxa"/>
            <w:shd w:val="clear" w:color="auto" w:fill="1F497D" w:themeFill="text2"/>
          </w:tcPr>
          <w:p w14:paraId="36AAB023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4D341105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114" w:type="dxa"/>
            <w:shd w:val="clear" w:color="auto" w:fill="1F497D" w:themeFill="text2"/>
          </w:tcPr>
          <w:p w14:paraId="617DD2A4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64C4075D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2899BD4A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2982" w:type="dxa"/>
            <w:vAlign w:val="center"/>
          </w:tcPr>
          <w:p w14:paraId="2CFF7D53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551" w:type="dxa"/>
            <w:vAlign w:val="center"/>
          </w:tcPr>
          <w:p w14:paraId="6077B0E4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114" w:type="dxa"/>
            <w:vAlign w:val="center"/>
          </w:tcPr>
          <w:p w14:paraId="6ACA0F90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350BADE7" w14:textId="77777777" w:rsidTr="00464196">
        <w:trPr>
          <w:trHeight w:val="2564"/>
          <w:jc w:val="center"/>
        </w:trPr>
        <w:tc>
          <w:tcPr>
            <w:tcW w:w="709" w:type="dxa"/>
            <w:vAlign w:val="center"/>
          </w:tcPr>
          <w:p w14:paraId="4F5B64F5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003CF39C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2982" w:type="dxa"/>
            <w:vAlign w:val="center"/>
          </w:tcPr>
          <w:p w14:paraId="3D5A4AAA" w14:textId="162C0E73" w:rsidR="006A4B67" w:rsidRPr="005A13DC" w:rsidRDefault="00D11B8F" w:rsidP="00D11B8F">
            <w:pPr>
              <w:jc w:val="both"/>
              <w:rPr>
                <w:rFonts w:ascii="Century Gothic" w:eastAsia="Calibri" w:hAnsi="Century Gothic" w:cs="Arial"/>
              </w:rPr>
            </w:pPr>
            <w:r w:rsidRPr="00D11B8F">
              <w:rPr>
                <w:rFonts w:ascii="Century Gothic" w:eastAsia="Calibri" w:hAnsi="Century Gothic" w:cs="Arial"/>
              </w:rPr>
              <w:t>Consulta inicial y solicitud</w:t>
            </w:r>
            <w:r>
              <w:rPr>
                <w:rFonts w:ascii="Century Gothic" w:eastAsia="Calibri" w:hAnsi="Century Gothic" w:cs="Arial"/>
              </w:rPr>
              <w:t xml:space="preserve">: </w:t>
            </w:r>
            <w:r w:rsidRPr="00D11B8F">
              <w:rPr>
                <w:rFonts w:ascii="Century Gothic" w:eastAsia="Calibri" w:hAnsi="Century Gothic" w:cs="Arial"/>
              </w:rPr>
              <w:t xml:space="preserve">Se da una declaración de los sucesos, se identifica si existe un contrato previo </w:t>
            </w:r>
            <w:r w:rsidR="001E1296" w:rsidRPr="00D11B8F">
              <w:rPr>
                <w:rFonts w:ascii="Century Gothic" w:eastAsia="Calibri" w:hAnsi="Century Gothic" w:cs="Arial"/>
              </w:rPr>
              <w:t>análisis</w:t>
            </w:r>
            <w:r w:rsidR="001E1296">
              <w:rPr>
                <w:rFonts w:ascii="Century Gothic" w:eastAsia="Calibri" w:hAnsi="Century Gothic" w:cs="Arial"/>
              </w:rPr>
              <w:t xml:space="preserve">, </w:t>
            </w:r>
            <w:r w:rsidR="001E1296" w:rsidRPr="00D11B8F">
              <w:rPr>
                <w:rFonts w:ascii="Century Gothic" w:eastAsia="Calibri" w:hAnsi="Century Gothic" w:cs="Arial"/>
              </w:rPr>
              <w:t>si</w:t>
            </w:r>
            <w:r w:rsidRPr="00D11B8F">
              <w:rPr>
                <w:rFonts w:ascii="Century Gothic" w:eastAsia="Calibri" w:hAnsi="Century Gothic" w:cs="Arial"/>
              </w:rPr>
              <w:t xml:space="preserve"> la materia objeto de la amigable composición es susceptible de transacción.</w:t>
            </w:r>
          </w:p>
        </w:tc>
        <w:tc>
          <w:tcPr>
            <w:tcW w:w="2551" w:type="dxa"/>
            <w:vAlign w:val="center"/>
          </w:tcPr>
          <w:p w14:paraId="4BEF2EEE" w14:textId="2906B201" w:rsidR="006A4B67" w:rsidRPr="00EF59AF" w:rsidRDefault="00FE79BB" w:rsidP="00464196">
            <w:pPr>
              <w:jc w:val="center"/>
              <w:rPr>
                <w:rFonts w:ascii="Century Gothic" w:eastAsia="Calibri" w:hAnsi="Century Gothic" w:cs="Arial"/>
              </w:rPr>
            </w:pPr>
            <w:r w:rsidRPr="00EF59AF">
              <w:rPr>
                <w:rFonts w:ascii="Century Gothic" w:eastAsia="Calibri" w:hAnsi="Century Gothic" w:cs="Arial"/>
              </w:rPr>
              <w:t>Director de</w:t>
            </w:r>
            <w:r w:rsidR="00464196" w:rsidRPr="00EF59AF">
              <w:rPr>
                <w:rFonts w:ascii="Century Gothic" w:eastAsia="Calibri" w:hAnsi="Century Gothic" w:cs="Arial"/>
              </w:rPr>
              <w:t>l Centro</w:t>
            </w:r>
            <w:r w:rsidR="00D11B8F" w:rsidRPr="00EF59AF">
              <w:rPr>
                <w:rFonts w:ascii="Century Gothic" w:eastAsia="Calibri" w:hAnsi="Century Gothic" w:cs="Arial"/>
              </w:rPr>
              <w:t xml:space="preserve"> </w:t>
            </w:r>
            <w:r w:rsidR="00464196" w:rsidRPr="00EF59AF">
              <w:rPr>
                <w:rFonts w:ascii="Century Gothic" w:eastAsia="Calibri" w:hAnsi="Century Gothic" w:cs="Arial"/>
              </w:rPr>
              <w:t xml:space="preserve">o Coordinador o </w:t>
            </w:r>
            <w:r w:rsidR="00901951" w:rsidRPr="00EF59AF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Pr="00EF59AF">
              <w:rPr>
                <w:rFonts w:ascii="Century Gothic" w:eastAsia="Calibri" w:hAnsi="Century Gothic" w:cs="Arial"/>
              </w:rPr>
              <w:t xml:space="preserve"> o </w:t>
            </w:r>
            <w:r w:rsidR="00901951" w:rsidRPr="00EF59AF">
              <w:rPr>
                <w:rFonts w:ascii="Century Gothic" w:eastAsia="Calibri" w:hAnsi="Century Gothic" w:cs="Arial"/>
              </w:rPr>
              <w:t>Gestor Jurídico y de Desarrollo Empresarial</w:t>
            </w:r>
          </w:p>
        </w:tc>
        <w:tc>
          <w:tcPr>
            <w:tcW w:w="3114" w:type="dxa"/>
            <w:vAlign w:val="center"/>
          </w:tcPr>
          <w:p w14:paraId="31E83A27" w14:textId="77777777" w:rsidR="006A4B67" w:rsidRDefault="00CB7A90" w:rsidP="006A4B67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7B391E">
              <w:rPr>
                <w:rFonts w:ascii="Century Gothic" w:eastAsia="Calibri" w:hAnsi="Century Gothic" w:cs="Arial"/>
                <w:color w:val="0000FF"/>
              </w:rPr>
              <w:t>N/A</w:t>
            </w:r>
          </w:p>
        </w:tc>
      </w:tr>
      <w:tr w:rsidR="006A4B67" w:rsidRPr="00C25840" w14:paraId="015B5EE1" w14:textId="77777777" w:rsidTr="001E1296">
        <w:trPr>
          <w:trHeight w:val="2850"/>
          <w:jc w:val="center"/>
        </w:trPr>
        <w:tc>
          <w:tcPr>
            <w:tcW w:w="709" w:type="dxa"/>
            <w:vAlign w:val="center"/>
          </w:tcPr>
          <w:p w14:paraId="1C1B588D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2982" w:type="dxa"/>
            <w:vAlign w:val="center"/>
          </w:tcPr>
          <w:p w14:paraId="6020E6B2" w14:textId="24016759" w:rsidR="006A4B67" w:rsidRPr="00BB0550" w:rsidRDefault="008F161C" w:rsidP="00166A96">
            <w:pPr>
              <w:jc w:val="both"/>
              <w:rPr>
                <w:rFonts w:ascii="Century Gothic" w:hAnsi="Century Gothic" w:cs="Arial"/>
              </w:rPr>
            </w:pPr>
            <w:r w:rsidRPr="008F161C">
              <w:rPr>
                <w:rFonts w:ascii="Century Gothic" w:hAnsi="Century Gothic" w:cs="Arial"/>
              </w:rPr>
              <w:t>Liquidación y pagos</w:t>
            </w:r>
            <w:r>
              <w:rPr>
                <w:rFonts w:ascii="Century Gothic" w:hAnsi="Century Gothic" w:cs="Arial"/>
              </w:rPr>
              <w:t xml:space="preserve">: </w:t>
            </w:r>
            <w:r w:rsidRPr="008F161C">
              <w:rPr>
                <w:rFonts w:ascii="Century Gothic" w:hAnsi="Century Gothic" w:cs="Arial"/>
              </w:rPr>
              <w:t xml:space="preserve"> </w:t>
            </w:r>
            <w:r w:rsidR="001E1296" w:rsidRPr="008F161C">
              <w:rPr>
                <w:rFonts w:ascii="Century Gothic" w:hAnsi="Century Gothic" w:cs="Arial"/>
              </w:rPr>
              <w:t xml:space="preserve">El valor </w:t>
            </w:r>
            <w:proofErr w:type="gramStart"/>
            <w:r w:rsidR="001E1296" w:rsidRPr="008F161C">
              <w:rPr>
                <w:rFonts w:ascii="Century Gothic" w:hAnsi="Century Gothic" w:cs="Arial"/>
              </w:rPr>
              <w:t>de</w:t>
            </w:r>
            <w:r w:rsidRPr="008F161C">
              <w:rPr>
                <w:rFonts w:ascii="Century Gothic" w:hAnsi="Century Gothic" w:cs="Arial"/>
              </w:rPr>
              <w:t xml:space="preserve">  los</w:t>
            </w:r>
            <w:proofErr w:type="gramEnd"/>
            <w:r w:rsidRPr="008F161C">
              <w:rPr>
                <w:rFonts w:ascii="Century Gothic" w:hAnsi="Century Gothic" w:cs="Arial"/>
              </w:rPr>
              <w:t xml:space="preserve"> derechos por gastos administrativos para el Centro y el de los honorarios de los amigables componedores, será equivalente a la mitad de los que resulten de aplicar la tarifa establecida para el arbitraje, regulada por el artículo 63 del reglamento</w:t>
            </w:r>
          </w:p>
        </w:tc>
        <w:tc>
          <w:tcPr>
            <w:tcW w:w="2551" w:type="dxa"/>
            <w:vAlign w:val="center"/>
          </w:tcPr>
          <w:p w14:paraId="693F33D2" w14:textId="4D7CBEDF" w:rsidR="006A4B67" w:rsidRPr="00EF59AF" w:rsidRDefault="00464196" w:rsidP="006A4B67">
            <w:pPr>
              <w:jc w:val="center"/>
              <w:rPr>
                <w:rFonts w:ascii="Century Gothic" w:hAnsi="Century Gothic" w:cs="Arial"/>
              </w:rPr>
            </w:pPr>
            <w:r w:rsidRPr="00EF59AF">
              <w:rPr>
                <w:rFonts w:ascii="Century Gothic" w:hAnsi="Century Gothic" w:cs="Arial"/>
              </w:rPr>
              <w:t>Director del Centro</w:t>
            </w:r>
            <w:r w:rsidR="008F161C" w:rsidRPr="00EF59AF">
              <w:rPr>
                <w:rFonts w:ascii="Century Gothic" w:hAnsi="Century Gothic" w:cs="Arial"/>
              </w:rPr>
              <w:t xml:space="preserve"> o </w:t>
            </w:r>
            <w:r w:rsidR="00901951" w:rsidRPr="00EF59AF">
              <w:rPr>
                <w:rFonts w:ascii="Century Gothic" w:hAnsi="Century Gothic" w:cs="Arial"/>
              </w:rPr>
              <w:t>Líder I Asesoría Jurídica y Formación Empresarial</w:t>
            </w:r>
            <w:r w:rsidR="00FE79BB" w:rsidRPr="00EF59AF">
              <w:rPr>
                <w:rFonts w:ascii="Century Gothic" w:hAnsi="Century Gothic" w:cs="Arial"/>
              </w:rPr>
              <w:t xml:space="preserve"> o </w:t>
            </w:r>
            <w:r w:rsidR="00901951" w:rsidRPr="00EF59AF">
              <w:rPr>
                <w:rFonts w:ascii="Century Gothic" w:hAnsi="Century Gothic" w:cs="Arial"/>
              </w:rPr>
              <w:t>Gestor Jurídico y de Desarrollo Empresarial</w:t>
            </w:r>
          </w:p>
          <w:p w14:paraId="38B3F47A" w14:textId="77777777" w:rsidR="00944679" w:rsidRPr="00EF59AF" w:rsidRDefault="008A6573" w:rsidP="006A4B67">
            <w:pPr>
              <w:jc w:val="center"/>
              <w:rPr>
                <w:rFonts w:ascii="Century Gothic" w:hAnsi="Century Gothic" w:cs="Arial"/>
              </w:rPr>
            </w:pPr>
            <w:r w:rsidRPr="00EF59AF">
              <w:rPr>
                <w:rFonts w:ascii="Century Gothic" w:hAnsi="Century Gothic" w:cs="Arial"/>
              </w:rPr>
              <w:t>Operador de Recaudo</w:t>
            </w:r>
          </w:p>
        </w:tc>
        <w:tc>
          <w:tcPr>
            <w:tcW w:w="3114" w:type="dxa"/>
            <w:vAlign w:val="center"/>
          </w:tcPr>
          <w:p w14:paraId="6AB6C974" w14:textId="77777777" w:rsidR="006A4B67" w:rsidRPr="00BB0550" w:rsidRDefault="008F161C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8F161C">
              <w:rPr>
                <w:rFonts w:ascii="Century Gothic" w:eastAsia="Calibri" w:hAnsi="Century Gothic" w:cs="Arial"/>
                <w:color w:val="0000FF"/>
              </w:rPr>
              <w:t>Recibo de caja</w:t>
            </w:r>
          </w:p>
        </w:tc>
      </w:tr>
      <w:tr w:rsidR="00E4024A" w:rsidRPr="00C25840" w14:paraId="4888E59F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29539B42" w14:textId="77777777" w:rsidR="00E4024A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2982" w:type="dxa"/>
            <w:vAlign w:val="center"/>
          </w:tcPr>
          <w:p w14:paraId="0777EB54" w14:textId="6F8B0F28" w:rsidR="00E4024A" w:rsidRDefault="008F161C" w:rsidP="00E4024A">
            <w:pPr>
              <w:jc w:val="both"/>
              <w:rPr>
                <w:rFonts w:ascii="Century Gothic" w:hAnsi="Century Gothic" w:cs="Arial"/>
              </w:rPr>
            </w:pPr>
            <w:r w:rsidRPr="008F161C">
              <w:rPr>
                <w:rFonts w:ascii="Century Gothic" w:hAnsi="Century Gothic" w:cs="Arial"/>
              </w:rPr>
              <w:t>Dar trámite al servicio</w:t>
            </w:r>
            <w:r>
              <w:rPr>
                <w:rFonts w:ascii="Century Gothic" w:hAnsi="Century Gothic" w:cs="Arial"/>
              </w:rPr>
              <w:t xml:space="preserve">, </w:t>
            </w:r>
            <w:r w:rsidRPr="008F161C">
              <w:rPr>
                <w:rFonts w:ascii="Century Gothic" w:hAnsi="Century Gothic" w:cs="Arial"/>
              </w:rPr>
              <w:t xml:space="preserve">Corresponde a las partes decidir sobre el número y calidades requeridas para los amigables componedores que estimen convenientes designar. El silencio de las partes sobre este punto, traslada al Centro la obligación de designar el amigable componedor; sin </w:t>
            </w:r>
            <w:r w:rsidR="008C74A6" w:rsidRPr="008F161C">
              <w:rPr>
                <w:rFonts w:ascii="Century Gothic" w:hAnsi="Century Gothic" w:cs="Arial"/>
              </w:rPr>
              <w:t>embargo,</w:t>
            </w:r>
            <w:r w:rsidRPr="008F161C">
              <w:rPr>
                <w:rFonts w:ascii="Century Gothic" w:hAnsi="Century Gothic" w:cs="Arial"/>
              </w:rPr>
              <w:t xml:space="preserve"> en este caso, el amigable componedor será único. El </w:t>
            </w:r>
            <w:proofErr w:type="gramStart"/>
            <w:r w:rsidR="00464196">
              <w:rPr>
                <w:rFonts w:ascii="Century Gothic" w:hAnsi="Century Gothic" w:cs="Arial"/>
              </w:rPr>
              <w:t>Director</w:t>
            </w:r>
            <w:proofErr w:type="gramEnd"/>
            <w:r w:rsidR="00464196">
              <w:rPr>
                <w:rFonts w:ascii="Century Gothic" w:hAnsi="Century Gothic" w:cs="Arial"/>
              </w:rPr>
              <w:t xml:space="preserve"> del </w:t>
            </w:r>
            <w:proofErr w:type="spellStart"/>
            <w:proofErr w:type="gramStart"/>
            <w:r w:rsidR="00464196">
              <w:rPr>
                <w:rFonts w:ascii="Century Gothic" w:hAnsi="Century Gothic" w:cs="Arial"/>
              </w:rPr>
              <w:t>Centro</w:t>
            </w:r>
            <w:r w:rsidR="001F7D98">
              <w:rPr>
                <w:rFonts w:ascii="Century Gothic" w:hAnsi="Century Gothic" w:cs="Arial"/>
              </w:rPr>
              <w:t>,o</w:t>
            </w:r>
            <w:proofErr w:type="spellEnd"/>
            <w:proofErr w:type="gramEnd"/>
            <w:r w:rsidR="001F7D98">
              <w:rPr>
                <w:rFonts w:ascii="Century Gothic" w:hAnsi="Century Gothic" w:cs="Arial"/>
              </w:rPr>
              <w:t xml:space="preserve"> </w:t>
            </w:r>
            <w:r w:rsidR="001F7D98" w:rsidRPr="00EF59AF">
              <w:rPr>
                <w:rFonts w:ascii="Century Gothic" w:hAnsi="Century Gothic" w:cs="Arial"/>
              </w:rPr>
              <w:t>Coordinador</w:t>
            </w:r>
            <w:r w:rsidRPr="00EF59AF">
              <w:rPr>
                <w:rFonts w:ascii="Century Gothic" w:hAnsi="Century Gothic" w:cs="Arial"/>
              </w:rPr>
              <w:t xml:space="preserve"> y/o </w:t>
            </w:r>
            <w:r w:rsidR="001F7D98" w:rsidRPr="00EF59AF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1F7D98" w:rsidRPr="00EF59AF">
              <w:rPr>
                <w:rFonts w:ascii="Century Gothic" w:hAnsi="Century Gothic" w:cs="Arial"/>
              </w:rPr>
              <w:t xml:space="preserve"> </w:t>
            </w:r>
            <w:r w:rsidRPr="008F161C">
              <w:rPr>
                <w:rFonts w:ascii="Century Gothic" w:hAnsi="Century Gothic" w:cs="Arial"/>
              </w:rPr>
              <w:t>atenderán lo dispuesto en el artículo 31 del reglamento.</w:t>
            </w:r>
          </w:p>
        </w:tc>
        <w:tc>
          <w:tcPr>
            <w:tcW w:w="2551" w:type="dxa"/>
            <w:vAlign w:val="center"/>
          </w:tcPr>
          <w:p w14:paraId="1E8BA4E9" w14:textId="30B6A995" w:rsidR="00E4024A" w:rsidRPr="00EF59AF" w:rsidRDefault="008F161C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EF59AF">
              <w:rPr>
                <w:rFonts w:ascii="Century Gothic" w:eastAsia="Calibri" w:hAnsi="Century Gothic" w:cs="Arial"/>
              </w:rPr>
              <w:t xml:space="preserve">Partes, </w:t>
            </w:r>
            <w:proofErr w:type="gramStart"/>
            <w:r w:rsidR="00464196" w:rsidRPr="00EF59AF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="00464196" w:rsidRPr="00EF59AF">
              <w:rPr>
                <w:rFonts w:ascii="Century Gothic" w:eastAsia="Calibri" w:hAnsi="Century Gothic" w:cs="Arial"/>
              </w:rPr>
              <w:t xml:space="preserve"> del Centro</w:t>
            </w:r>
            <w:r w:rsidRPr="00EF59AF">
              <w:rPr>
                <w:rFonts w:ascii="Century Gothic" w:eastAsia="Calibri" w:hAnsi="Century Gothic" w:cs="Arial"/>
              </w:rPr>
              <w:t xml:space="preserve"> o </w:t>
            </w:r>
            <w:r w:rsidR="00901951" w:rsidRPr="00EF59AF">
              <w:rPr>
                <w:rFonts w:ascii="Century Gothic" w:eastAsia="Calibri" w:hAnsi="Century Gothic" w:cs="Arial"/>
              </w:rPr>
              <w:t>Líder I Asesoría Jurídica y Formación Empresarial</w:t>
            </w:r>
          </w:p>
        </w:tc>
        <w:tc>
          <w:tcPr>
            <w:tcW w:w="3114" w:type="dxa"/>
            <w:vAlign w:val="center"/>
          </w:tcPr>
          <w:p w14:paraId="6E4240FE" w14:textId="77777777" w:rsidR="008F161C" w:rsidRDefault="008F161C" w:rsidP="008F161C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8F161C">
              <w:rPr>
                <w:rFonts w:ascii="Century Gothic" w:eastAsia="Calibri" w:hAnsi="Century Gothic" w:cs="Arial"/>
                <w:color w:val="0000FF"/>
              </w:rPr>
              <w:t>FOR-MASC-</w:t>
            </w:r>
            <w:proofErr w:type="gramStart"/>
            <w:r w:rsidRPr="008F161C">
              <w:rPr>
                <w:rFonts w:ascii="Century Gothic" w:eastAsia="Calibri" w:hAnsi="Century Gothic" w:cs="Arial"/>
                <w:color w:val="0000FF"/>
              </w:rPr>
              <w:t xml:space="preserve">05 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 L</w:t>
            </w:r>
            <w:r w:rsidRPr="008F161C">
              <w:rPr>
                <w:rFonts w:ascii="Century Gothic" w:eastAsia="Calibri" w:hAnsi="Century Gothic" w:cs="Arial"/>
                <w:color w:val="0000FF"/>
              </w:rPr>
              <w:t>ibro</w:t>
            </w:r>
            <w:proofErr w:type="gramEnd"/>
            <w:r w:rsidRPr="008F161C"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>
              <w:rPr>
                <w:rFonts w:ascii="Century Gothic" w:eastAsia="Calibri" w:hAnsi="Century Gothic" w:cs="Arial"/>
                <w:color w:val="0000FF"/>
              </w:rPr>
              <w:t>Oficial de amigables componedores</w:t>
            </w:r>
            <w:r w:rsidRPr="008F161C">
              <w:rPr>
                <w:rFonts w:ascii="Century Gothic" w:eastAsia="Calibri" w:hAnsi="Century Gothic" w:cs="Arial"/>
                <w:color w:val="0000FF"/>
              </w:rPr>
              <w:t xml:space="preserve"> </w:t>
            </w:r>
          </w:p>
          <w:p w14:paraId="7EC43742" w14:textId="77777777" w:rsidR="00E4024A" w:rsidRPr="00166A96" w:rsidRDefault="008F161C" w:rsidP="008F161C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C837AF">
              <w:rPr>
                <w:rFonts w:ascii="Century Gothic" w:eastAsia="Calibri" w:hAnsi="Century Gothic" w:cs="Arial"/>
                <w:color w:val="0000FF"/>
              </w:rPr>
              <w:t>Oficios de notificación</w:t>
            </w:r>
          </w:p>
        </w:tc>
      </w:tr>
      <w:tr w:rsidR="006A4B67" w:rsidRPr="00C25840" w14:paraId="4037ABEA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46DDEE56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2982" w:type="dxa"/>
            <w:vAlign w:val="center"/>
          </w:tcPr>
          <w:p w14:paraId="4B0D3075" w14:textId="7FDFB5C1" w:rsidR="006A4B67" w:rsidRDefault="00CF46B8" w:rsidP="00166A96">
            <w:pPr>
              <w:jc w:val="both"/>
              <w:rPr>
                <w:rFonts w:ascii="Century Gothic" w:hAnsi="Century Gothic" w:cs="Arial"/>
              </w:rPr>
            </w:pPr>
            <w:r w:rsidRPr="00CF46B8">
              <w:rPr>
                <w:rFonts w:ascii="Century Gothic" w:hAnsi="Century Gothic" w:cs="Arial"/>
              </w:rPr>
              <w:t>Llevar a cabo la audiencia</w:t>
            </w:r>
            <w:r>
              <w:rPr>
                <w:rFonts w:ascii="Century Gothic" w:hAnsi="Century Gothic" w:cs="Arial"/>
              </w:rPr>
              <w:t>, l</w:t>
            </w:r>
            <w:r w:rsidRPr="00CF46B8">
              <w:rPr>
                <w:rFonts w:ascii="Century Gothic" w:hAnsi="Century Gothic" w:cs="Arial"/>
              </w:rPr>
              <w:t xml:space="preserve">a actuación del </w:t>
            </w:r>
            <w:r w:rsidR="007152FC" w:rsidRPr="00CF46B8">
              <w:rPr>
                <w:rFonts w:ascii="Century Gothic" w:hAnsi="Century Gothic" w:cs="Arial"/>
              </w:rPr>
              <w:t>amigable componedor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7152FC" w:rsidRPr="00CF46B8">
              <w:rPr>
                <w:rFonts w:ascii="Century Gothic" w:hAnsi="Century Gothic" w:cs="Arial"/>
              </w:rPr>
              <w:lastRenderedPageBreak/>
              <w:t xml:space="preserve">corresponderá </w:t>
            </w:r>
            <w:r w:rsidR="008C74A6" w:rsidRPr="00CF46B8">
              <w:rPr>
                <w:rFonts w:ascii="Century Gothic" w:hAnsi="Century Gothic" w:cs="Arial"/>
              </w:rPr>
              <w:t xml:space="preserve">a las </w:t>
            </w:r>
            <w:r w:rsidR="00FE5C64" w:rsidRPr="00CF46B8">
              <w:rPr>
                <w:rFonts w:ascii="Century Gothic" w:hAnsi="Century Gothic" w:cs="Arial"/>
              </w:rPr>
              <w:t>partes, quienes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FE5C64" w:rsidRPr="00CF46B8">
              <w:rPr>
                <w:rFonts w:ascii="Century Gothic" w:hAnsi="Century Gothic" w:cs="Arial"/>
              </w:rPr>
              <w:t xml:space="preserve">podrán incluirlo también </w:t>
            </w:r>
            <w:r w:rsidR="003D6637" w:rsidRPr="00CF46B8">
              <w:rPr>
                <w:rFonts w:ascii="Century Gothic" w:hAnsi="Century Gothic" w:cs="Arial"/>
              </w:rPr>
              <w:t>en el mandato</w:t>
            </w:r>
            <w:r w:rsidRPr="00CF46B8">
              <w:rPr>
                <w:rFonts w:ascii="Century Gothic" w:hAnsi="Century Gothic" w:cs="Arial"/>
              </w:rPr>
              <w:t xml:space="preserve">.  Sin </w:t>
            </w:r>
            <w:r w:rsidR="003D6637" w:rsidRPr="00CF46B8">
              <w:rPr>
                <w:rFonts w:ascii="Century Gothic" w:hAnsi="Century Gothic" w:cs="Arial"/>
              </w:rPr>
              <w:t>embargo,</w:t>
            </w:r>
            <w:r w:rsidRPr="00CF46B8">
              <w:rPr>
                <w:rFonts w:ascii="Century Gothic" w:hAnsi="Century Gothic" w:cs="Arial"/>
              </w:rPr>
              <w:t xml:space="preserve"> para todos los efectos, los amigables componedores del </w:t>
            </w:r>
            <w:r w:rsidR="007152FC" w:rsidRPr="00CF46B8">
              <w:rPr>
                <w:rFonts w:ascii="Century Gothic" w:hAnsi="Century Gothic" w:cs="Arial"/>
              </w:rPr>
              <w:t>Centro, comenzarán</w:t>
            </w:r>
            <w:r w:rsidRPr="00CF46B8">
              <w:rPr>
                <w:rFonts w:ascii="Century Gothic" w:hAnsi="Century Gothic" w:cs="Arial"/>
              </w:rPr>
              <w:t xml:space="preserve"> con la celebración de una audiencia, que tendrá como objetivo </w:t>
            </w:r>
            <w:r w:rsidR="007152FC" w:rsidRPr="00CF46B8">
              <w:rPr>
                <w:rFonts w:ascii="Century Gothic" w:hAnsi="Century Gothic" w:cs="Arial"/>
              </w:rPr>
              <w:t xml:space="preserve">primordial conocer </w:t>
            </w:r>
            <w:r w:rsidR="008C74A6" w:rsidRPr="00CF46B8">
              <w:rPr>
                <w:rFonts w:ascii="Century Gothic" w:hAnsi="Century Gothic" w:cs="Arial"/>
              </w:rPr>
              <w:t xml:space="preserve">las diferentes posiciones de las partes </w:t>
            </w:r>
            <w:r w:rsidR="00FE5C64" w:rsidRPr="00CF46B8">
              <w:rPr>
                <w:rFonts w:ascii="Century Gothic" w:hAnsi="Century Gothic" w:cs="Arial"/>
              </w:rPr>
              <w:t xml:space="preserve">sobre el </w:t>
            </w:r>
            <w:r w:rsidR="003D6637" w:rsidRPr="00CF46B8">
              <w:rPr>
                <w:rFonts w:ascii="Century Gothic" w:hAnsi="Century Gothic" w:cs="Arial"/>
              </w:rPr>
              <w:t>conflicto; en esta audiencia el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3D6637" w:rsidRPr="00CF46B8">
              <w:rPr>
                <w:rFonts w:ascii="Century Gothic" w:hAnsi="Century Gothic" w:cs="Arial"/>
              </w:rPr>
              <w:t>amigable componedor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3D6637" w:rsidRPr="00CF46B8">
              <w:rPr>
                <w:rFonts w:ascii="Century Gothic" w:hAnsi="Century Gothic" w:cs="Arial"/>
              </w:rPr>
              <w:t>deberá mediar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3D6637" w:rsidRPr="00CF46B8">
              <w:rPr>
                <w:rFonts w:ascii="Century Gothic" w:hAnsi="Century Gothic" w:cs="Arial"/>
              </w:rPr>
              <w:t>entre las partes para identificar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3D6637" w:rsidRPr="00CF46B8">
              <w:rPr>
                <w:rFonts w:ascii="Century Gothic" w:hAnsi="Century Gothic" w:cs="Arial"/>
              </w:rPr>
              <w:t>conjuntamente una solución al</w:t>
            </w:r>
            <w:r w:rsidRPr="00CF46B8">
              <w:rPr>
                <w:rFonts w:ascii="Century Gothic" w:hAnsi="Century Gothic" w:cs="Arial"/>
              </w:rPr>
              <w:t xml:space="preserve"> conflicto.</w:t>
            </w:r>
          </w:p>
        </w:tc>
        <w:tc>
          <w:tcPr>
            <w:tcW w:w="2551" w:type="dxa"/>
            <w:vAlign w:val="center"/>
          </w:tcPr>
          <w:p w14:paraId="5408E2D4" w14:textId="77777777" w:rsidR="006A4B67" w:rsidRPr="00EF59AF" w:rsidRDefault="00CF46B8" w:rsidP="006A4B67">
            <w:pPr>
              <w:jc w:val="center"/>
              <w:rPr>
                <w:rFonts w:ascii="Century Gothic" w:hAnsi="Century Gothic" w:cs="Arial"/>
              </w:rPr>
            </w:pPr>
            <w:r w:rsidRPr="00EF59AF">
              <w:rPr>
                <w:rFonts w:ascii="Century Gothic" w:hAnsi="Century Gothic" w:cs="Arial"/>
              </w:rPr>
              <w:lastRenderedPageBreak/>
              <w:t>Amigable Componedor y las partes</w:t>
            </w:r>
          </w:p>
        </w:tc>
        <w:tc>
          <w:tcPr>
            <w:tcW w:w="3114" w:type="dxa"/>
            <w:vAlign w:val="center"/>
          </w:tcPr>
          <w:p w14:paraId="73F2AF30" w14:textId="77777777" w:rsidR="006A4B67" w:rsidRPr="003D5B3C" w:rsidRDefault="00C837AF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Expediente </w:t>
            </w:r>
          </w:p>
        </w:tc>
      </w:tr>
      <w:tr w:rsidR="006A4B67" w:rsidRPr="00C25840" w14:paraId="43AC0914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32CB0401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2982" w:type="dxa"/>
            <w:vAlign w:val="center"/>
          </w:tcPr>
          <w:p w14:paraId="31656598" w14:textId="2D696B8B" w:rsidR="006A4B67" w:rsidRDefault="007152FC" w:rsidP="006A4B67">
            <w:pPr>
              <w:jc w:val="both"/>
              <w:rPr>
                <w:rFonts w:ascii="Century Gothic" w:hAnsi="Century Gothic" w:cs="Arial"/>
              </w:rPr>
            </w:pPr>
            <w:r w:rsidRPr="00CF46B8">
              <w:rPr>
                <w:rFonts w:ascii="Century Gothic" w:hAnsi="Century Gothic" w:cs="Arial"/>
              </w:rPr>
              <w:t>Culminada la audiencia anterior</w:t>
            </w:r>
            <w:r w:rsidR="00CF46B8" w:rsidRPr="00CF46B8">
              <w:rPr>
                <w:rFonts w:ascii="Century Gothic" w:hAnsi="Century Gothic" w:cs="Arial"/>
              </w:rPr>
              <w:t xml:space="preserve"> </w:t>
            </w:r>
            <w:proofErr w:type="gramStart"/>
            <w:r w:rsidR="00CF46B8" w:rsidRPr="00CF46B8">
              <w:rPr>
                <w:rFonts w:ascii="Century Gothic" w:hAnsi="Century Gothic" w:cs="Arial"/>
              </w:rPr>
              <w:t>con  imposibilidad</w:t>
            </w:r>
            <w:proofErr w:type="gramEnd"/>
            <w:r w:rsidR="00CF46B8" w:rsidRPr="00CF46B8">
              <w:rPr>
                <w:rFonts w:ascii="Century Gothic" w:hAnsi="Century Gothic" w:cs="Arial"/>
              </w:rPr>
              <w:t xml:space="preserve">  </w:t>
            </w:r>
            <w:proofErr w:type="gramStart"/>
            <w:r w:rsidR="00CF46B8" w:rsidRPr="00CF46B8">
              <w:rPr>
                <w:rFonts w:ascii="Century Gothic" w:hAnsi="Century Gothic" w:cs="Arial"/>
              </w:rPr>
              <w:t>de  acuerdo,  el</w:t>
            </w:r>
            <w:proofErr w:type="gramEnd"/>
            <w:r w:rsidR="00CF46B8" w:rsidRPr="00CF46B8">
              <w:rPr>
                <w:rFonts w:ascii="Century Gothic" w:hAnsi="Century Gothic" w:cs="Arial"/>
              </w:rPr>
              <w:t xml:space="preserve">  </w:t>
            </w:r>
            <w:proofErr w:type="gramStart"/>
            <w:r w:rsidR="00CF46B8" w:rsidRPr="00CF46B8">
              <w:rPr>
                <w:rFonts w:ascii="Century Gothic" w:hAnsi="Century Gothic" w:cs="Arial"/>
              </w:rPr>
              <w:t>amigable  componedor</w:t>
            </w:r>
            <w:proofErr w:type="gramEnd"/>
            <w:r w:rsidR="00CF46B8" w:rsidRPr="00CF46B8">
              <w:rPr>
                <w:rFonts w:ascii="Century Gothic" w:hAnsi="Century Gothic" w:cs="Arial"/>
              </w:rPr>
              <w:t xml:space="preserve"> </w:t>
            </w:r>
            <w:proofErr w:type="gramStart"/>
            <w:r w:rsidR="00CF46B8" w:rsidRPr="00CF46B8">
              <w:rPr>
                <w:rFonts w:ascii="Century Gothic" w:hAnsi="Century Gothic" w:cs="Arial"/>
              </w:rPr>
              <w:t>señalará  la</w:t>
            </w:r>
            <w:proofErr w:type="gramEnd"/>
            <w:r w:rsidR="00CF46B8" w:rsidRPr="00CF46B8">
              <w:rPr>
                <w:rFonts w:ascii="Century Gothic" w:hAnsi="Century Gothic" w:cs="Arial"/>
              </w:rPr>
              <w:t xml:space="preserve"> evidencia documental que considere necesaria, y en este sentido, solicitará a las partes que entreguen las que estén en su alcance aportar</w:t>
            </w:r>
          </w:p>
        </w:tc>
        <w:tc>
          <w:tcPr>
            <w:tcW w:w="2551" w:type="dxa"/>
            <w:vAlign w:val="center"/>
          </w:tcPr>
          <w:p w14:paraId="19F739C9" w14:textId="77777777" w:rsidR="006A4B67" w:rsidRPr="00EF59AF" w:rsidRDefault="00CF46B8" w:rsidP="006A4B67">
            <w:pPr>
              <w:jc w:val="center"/>
              <w:rPr>
                <w:rFonts w:ascii="Century Gothic" w:hAnsi="Century Gothic" w:cs="Arial"/>
              </w:rPr>
            </w:pPr>
            <w:r w:rsidRPr="00EF59AF">
              <w:rPr>
                <w:rFonts w:ascii="Century Gothic" w:hAnsi="Century Gothic" w:cs="Arial"/>
              </w:rPr>
              <w:t>Amigable Componedor y las partes</w:t>
            </w:r>
          </w:p>
        </w:tc>
        <w:tc>
          <w:tcPr>
            <w:tcW w:w="3114" w:type="dxa"/>
            <w:vAlign w:val="center"/>
          </w:tcPr>
          <w:p w14:paraId="3C708506" w14:textId="77777777" w:rsidR="006A4B67" w:rsidRPr="003D5B3C" w:rsidRDefault="00C837AF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Expediente</w:t>
            </w:r>
          </w:p>
        </w:tc>
      </w:tr>
      <w:tr w:rsidR="006A4B67" w:rsidRPr="00C25840" w14:paraId="3C35AEA0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39E50C33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2982" w:type="dxa"/>
            <w:vAlign w:val="center"/>
          </w:tcPr>
          <w:p w14:paraId="2311C264" w14:textId="77777777" w:rsidR="006A4B67" w:rsidRDefault="009E4337" w:rsidP="00050A2A">
            <w:pPr>
              <w:jc w:val="both"/>
              <w:rPr>
                <w:rFonts w:ascii="Century Gothic" w:hAnsi="Century Gothic" w:cs="Arial"/>
              </w:rPr>
            </w:pPr>
            <w:proofErr w:type="gramStart"/>
            <w:r w:rsidRPr="009E4337">
              <w:rPr>
                <w:rFonts w:ascii="Century Gothic" w:hAnsi="Century Gothic" w:cs="Arial"/>
              </w:rPr>
              <w:t>El  amigable</w:t>
            </w:r>
            <w:proofErr w:type="gramEnd"/>
            <w:r w:rsidRPr="009E4337">
              <w:rPr>
                <w:rFonts w:ascii="Century Gothic" w:hAnsi="Century Gothic" w:cs="Arial"/>
              </w:rPr>
              <w:t xml:space="preserve">  </w:t>
            </w:r>
            <w:proofErr w:type="gramStart"/>
            <w:r w:rsidRPr="009E4337">
              <w:rPr>
                <w:rFonts w:ascii="Century Gothic" w:hAnsi="Century Gothic" w:cs="Arial"/>
              </w:rPr>
              <w:t>componedor  dispondrá</w:t>
            </w:r>
            <w:proofErr w:type="gramEnd"/>
            <w:r w:rsidRPr="009E4337">
              <w:rPr>
                <w:rFonts w:ascii="Century Gothic" w:hAnsi="Century Gothic" w:cs="Arial"/>
              </w:rPr>
              <w:t xml:space="preserve">  </w:t>
            </w:r>
            <w:proofErr w:type="gramStart"/>
            <w:r w:rsidRPr="009E4337">
              <w:rPr>
                <w:rFonts w:ascii="Century Gothic" w:hAnsi="Century Gothic" w:cs="Arial"/>
              </w:rPr>
              <w:t>de  un</w:t>
            </w:r>
            <w:proofErr w:type="gramEnd"/>
            <w:r w:rsidRPr="009E4337">
              <w:rPr>
                <w:rFonts w:ascii="Century Gothic" w:hAnsi="Century Gothic" w:cs="Arial"/>
              </w:rPr>
              <w:t xml:space="preserve">  (1</w:t>
            </w:r>
            <w:proofErr w:type="gramStart"/>
            <w:r w:rsidRPr="009E4337">
              <w:rPr>
                <w:rFonts w:ascii="Century Gothic" w:hAnsi="Century Gothic" w:cs="Arial"/>
              </w:rPr>
              <w:t>)  mes,  contado</w:t>
            </w:r>
            <w:proofErr w:type="gramEnd"/>
            <w:r w:rsidRPr="009E4337">
              <w:rPr>
                <w:rFonts w:ascii="Century Gothic" w:hAnsi="Century Gothic" w:cs="Arial"/>
              </w:rPr>
              <w:t xml:space="preserve">  </w:t>
            </w:r>
            <w:proofErr w:type="gramStart"/>
            <w:r w:rsidRPr="009E4337">
              <w:rPr>
                <w:rFonts w:ascii="Century Gothic" w:hAnsi="Century Gothic" w:cs="Arial"/>
              </w:rPr>
              <w:t>desde  la</w:t>
            </w:r>
            <w:proofErr w:type="gramEnd"/>
            <w:r w:rsidRPr="009E4337">
              <w:rPr>
                <w:rFonts w:ascii="Century Gothic" w:hAnsi="Century Gothic" w:cs="Arial"/>
              </w:rPr>
              <w:t xml:space="preserve">  </w:t>
            </w:r>
            <w:proofErr w:type="gramStart"/>
            <w:r w:rsidRPr="009E4337">
              <w:rPr>
                <w:rFonts w:ascii="Century Gothic" w:hAnsi="Century Gothic" w:cs="Arial"/>
              </w:rPr>
              <w:t>recepción  de</w:t>
            </w:r>
            <w:proofErr w:type="gramEnd"/>
            <w:r w:rsidRPr="009E4337">
              <w:rPr>
                <w:rFonts w:ascii="Century Gothic" w:hAnsi="Century Gothic" w:cs="Arial"/>
              </w:rPr>
              <w:t xml:space="preserve">  </w:t>
            </w:r>
            <w:proofErr w:type="gramStart"/>
            <w:r w:rsidRPr="009E4337">
              <w:rPr>
                <w:rFonts w:ascii="Century Gothic" w:hAnsi="Century Gothic" w:cs="Arial"/>
              </w:rPr>
              <w:t>las  pruebas</w:t>
            </w:r>
            <w:proofErr w:type="gramEnd"/>
            <w:r w:rsidRPr="009E4337">
              <w:rPr>
                <w:rFonts w:ascii="Century Gothic" w:hAnsi="Century Gothic" w:cs="Arial"/>
              </w:rPr>
              <w:t xml:space="preserve"> documentales que haya solicitado, para hacer una valoración integral del caso y emitir una decisión de fondo sobre la controversia</w:t>
            </w:r>
          </w:p>
        </w:tc>
        <w:tc>
          <w:tcPr>
            <w:tcW w:w="2551" w:type="dxa"/>
            <w:vAlign w:val="center"/>
          </w:tcPr>
          <w:p w14:paraId="7B5B4334" w14:textId="77777777" w:rsidR="006A4B67" w:rsidRPr="00EF59AF" w:rsidRDefault="009E4337" w:rsidP="006A4B67">
            <w:pPr>
              <w:jc w:val="center"/>
              <w:rPr>
                <w:rFonts w:ascii="Century Gothic" w:hAnsi="Century Gothic" w:cs="Arial"/>
              </w:rPr>
            </w:pPr>
            <w:r w:rsidRPr="00EF59AF">
              <w:rPr>
                <w:rFonts w:ascii="Century Gothic" w:hAnsi="Century Gothic" w:cs="Arial"/>
              </w:rPr>
              <w:t>Amigable Componedor</w:t>
            </w:r>
          </w:p>
        </w:tc>
        <w:tc>
          <w:tcPr>
            <w:tcW w:w="3114" w:type="dxa"/>
            <w:vAlign w:val="center"/>
          </w:tcPr>
          <w:p w14:paraId="772E09AA" w14:textId="77777777" w:rsidR="006A4B67" w:rsidRPr="003D5B3C" w:rsidRDefault="00C837AF" w:rsidP="00050A2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Expediente</w:t>
            </w:r>
          </w:p>
        </w:tc>
      </w:tr>
      <w:tr w:rsidR="006A4B67" w:rsidRPr="00C25840" w14:paraId="6EC32F80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7279114E" w14:textId="77777777" w:rsidR="006A4B67" w:rsidRPr="00EA7409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2982" w:type="dxa"/>
          </w:tcPr>
          <w:p w14:paraId="2999CDBB" w14:textId="77777777" w:rsidR="006A4B67" w:rsidRPr="00BB0550" w:rsidRDefault="00040BF0" w:rsidP="006A4B67">
            <w:pPr>
              <w:jc w:val="both"/>
              <w:rPr>
                <w:rFonts w:ascii="Century Gothic" w:hAnsi="Century Gothic" w:cs="Arial"/>
              </w:rPr>
            </w:pPr>
            <w:r w:rsidRPr="00040BF0">
              <w:rPr>
                <w:rFonts w:ascii="Century Gothic" w:hAnsi="Century Gothic" w:cs="Arial"/>
              </w:rPr>
              <w:t xml:space="preserve">La decisión que se tome deberá constar en acta suscrita por el amigable componedor, cuyo contenido deberá como mínimo reflejar el desarrollo del proceso, las consideraciones técnicas o jurídicas que haya tenido en cuenta, una justificación de la decisión tomada, y la </w:t>
            </w:r>
            <w:r w:rsidRPr="00040BF0">
              <w:rPr>
                <w:rFonts w:ascii="Century Gothic" w:hAnsi="Century Gothic" w:cs="Arial"/>
              </w:rPr>
              <w:lastRenderedPageBreak/>
              <w:t>descripción de los compromisos que en virtud de la decisión deben satisfacer las partes.</w:t>
            </w:r>
          </w:p>
        </w:tc>
        <w:tc>
          <w:tcPr>
            <w:tcW w:w="2551" w:type="dxa"/>
            <w:vAlign w:val="center"/>
          </w:tcPr>
          <w:p w14:paraId="0C764419" w14:textId="77777777" w:rsidR="006A4B67" w:rsidRPr="00EF59AF" w:rsidRDefault="00040BF0" w:rsidP="006A4B67">
            <w:pPr>
              <w:jc w:val="center"/>
              <w:rPr>
                <w:rFonts w:ascii="Century Gothic" w:hAnsi="Century Gothic" w:cs="Arial"/>
              </w:rPr>
            </w:pPr>
            <w:r w:rsidRPr="00EF59AF">
              <w:rPr>
                <w:rFonts w:ascii="Century Gothic" w:hAnsi="Century Gothic" w:cs="Arial"/>
              </w:rPr>
              <w:lastRenderedPageBreak/>
              <w:t>Amigable Componedor</w:t>
            </w:r>
          </w:p>
        </w:tc>
        <w:tc>
          <w:tcPr>
            <w:tcW w:w="3114" w:type="dxa"/>
            <w:vAlign w:val="center"/>
          </w:tcPr>
          <w:p w14:paraId="301F194C" w14:textId="77777777" w:rsidR="00C837AF" w:rsidRDefault="00C837AF" w:rsidP="00040BF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  <w:highlight w:val="yellow"/>
              </w:rPr>
            </w:pPr>
            <w:r>
              <w:rPr>
                <w:rFonts w:ascii="Century Gothic" w:hAnsi="Century Gothic"/>
                <w:color w:val="0000FF"/>
              </w:rPr>
              <w:t>Expediente</w:t>
            </w:r>
            <w:r w:rsidRPr="00040BF0">
              <w:rPr>
                <w:rFonts w:ascii="Century Gothic" w:hAnsi="Century Gothic"/>
                <w:color w:val="0000FF"/>
                <w:highlight w:val="yellow"/>
              </w:rPr>
              <w:t xml:space="preserve"> </w:t>
            </w:r>
          </w:p>
          <w:p w14:paraId="341A4483" w14:textId="77777777" w:rsidR="006A4B67" w:rsidRPr="00B16B05" w:rsidRDefault="00040BF0" w:rsidP="00040BF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04633D">
              <w:rPr>
                <w:rFonts w:ascii="Century Gothic" w:hAnsi="Century Gothic"/>
                <w:color w:val="0000FF"/>
              </w:rPr>
              <w:t>Acta final</w:t>
            </w:r>
          </w:p>
        </w:tc>
      </w:tr>
      <w:tr w:rsidR="00B16B05" w:rsidRPr="00C25840" w14:paraId="6147A182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51024081" w14:textId="77777777" w:rsidR="00B16B05" w:rsidRDefault="00B16B05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2982" w:type="dxa"/>
          </w:tcPr>
          <w:p w14:paraId="5E716A34" w14:textId="77777777" w:rsidR="00B16B05" w:rsidRPr="00B16B05" w:rsidRDefault="00040BF0" w:rsidP="00C14E42">
            <w:pPr>
              <w:jc w:val="both"/>
              <w:rPr>
                <w:rFonts w:ascii="Century Gothic" w:hAnsi="Century Gothic" w:cs="Arial"/>
              </w:rPr>
            </w:pPr>
            <w:r w:rsidRPr="00040BF0">
              <w:rPr>
                <w:rFonts w:ascii="Century Gothic" w:hAnsi="Century Gothic" w:cs="Arial"/>
              </w:rPr>
              <w:t xml:space="preserve">Adoptada la decisión del amigable componedor, y extendida el acta correspondiente, el amigable componedor fijará a través de un aviso, que será dispuesto en la cartelera de la que habla el artículo 56 </w:t>
            </w:r>
            <w:r w:rsidR="0004633D">
              <w:rPr>
                <w:rFonts w:ascii="Century Gothic" w:hAnsi="Century Gothic" w:cs="Arial"/>
              </w:rPr>
              <w:t xml:space="preserve">y 58 </w:t>
            </w:r>
            <w:r w:rsidRPr="00040BF0">
              <w:rPr>
                <w:rFonts w:ascii="Century Gothic" w:hAnsi="Century Gothic" w:cs="Arial"/>
              </w:rPr>
              <w:t xml:space="preserve">del presente reglamento, a través del cual comunicará </w:t>
            </w:r>
            <w:proofErr w:type="gramStart"/>
            <w:r w:rsidRPr="00040BF0">
              <w:rPr>
                <w:rFonts w:ascii="Century Gothic" w:hAnsi="Century Gothic" w:cs="Arial"/>
              </w:rPr>
              <w:t>a  las</w:t>
            </w:r>
            <w:proofErr w:type="gramEnd"/>
            <w:r w:rsidRPr="00040BF0">
              <w:rPr>
                <w:rFonts w:ascii="Century Gothic" w:hAnsi="Century Gothic" w:cs="Arial"/>
              </w:rPr>
              <w:t xml:space="preserve">  partes las decisiones adoptadas.  Este aviso será fijado por </w:t>
            </w:r>
            <w:proofErr w:type="gramStart"/>
            <w:r w:rsidRPr="00040BF0">
              <w:rPr>
                <w:rFonts w:ascii="Century Gothic" w:hAnsi="Century Gothic" w:cs="Arial"/>
              </w:rPr>
              <w:t>el  término</w:t>
            </w:r>
            <w:proofErr w:type="gramEnd"/>
            <w:r w:rsidRPr="00040BF0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040BF0">
              <w:rPr>
                <w:rFonts w:ascii="Century Gothic" w:hAnsi="Century Gothic" w:cs="Arial"/>
              </w:rPr>
              <w:t>de  5</w:t>
            </w:r>
            <w:proofErr w:type="gramEnd"/>
            <w:r w:rsidRPr="00040BF0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040BF0">
              <w:rPr>
                <w:rFonts w:ascii="Century Gothic" w:hAnsi="Century Gothic" w:cs="Arial"/>
              </w:rPr>
              <w:t>días,  y</w:t>
            </w:r>
            <w:proofErr w:type="gramEnd"/>
            <w:r w:rsidRPr="00040BF0">
              <w:rPr>
                <w:rFonts w:ascii="Century Gothic" w:hAnsi="Century Gothic" w:cs="Arial"/>
              </w:rPr>
              <w:t xml:space="preserve"> su contenido y el contenido del acta, quedarán a disposición de las partes en la secretaria del Centro, para los fines que estas estimen pertinentes</w:t>
            </w:r>
          </w:p>
        </w:tc>
        <w:tc>
          <w:tcPr>
            <w:tcW w:w="2551" w:type="dxa"/>
            <w:vAlign w:val="center"/>
          </w:tcPr>
          <w:p w14:paraId="400448D3" w14:textId="77777777" w:rsidR="00B16B05" w:rsidRPr="00EF59AF" w:rsidRDefault="00040BF0" w:rsidP="006A4B67">
            <w:pPr>
              <w:jc w:val="center"/>
              <w:rPr>
                <w:rFonts w:ascii="Century Gothic" w:hAnsi="Century Gothic" w:cs="Arial"/>
              </w:rPr>
            </w:pPr>
            <w:r w:rsidRPr="00EF59AF">
              <w:rPr>
                <w:rFonts w:ascii="Century Gothic" w:hAnsi="Century Gothic" w:cs="Arial"/>
              </w:rPr>
              <w:t>Amigable Componedor</w:t>
            </w:r>
          </w:p>
        </w:tc>
        <w:tc>
          <w:tcPr>
            <w:tcW w:w="3114" w:type="dxa"/>
            <w:vAlign w:val="center"/>
          </w:tcPr>
          <w:p w14:paraId="7F6A8AC2" w14:textId="77777777" w:rsidR="00C837AF" w:rsidRPr="0004633D" w:rsidRDefault="00C837AF" w:rsidP="00040BF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04633D">
              <w:rPr>
                <w:rFonts w:ascii="Century Gothic" w:hAnsi="Century Gothic"/>
                <w:color w:val="0000FF"/>
              </w:rPr>
              <w:t xml:space="preserve">Expediente </w:t>
            </w:r>
          </w:p>
          <w:p w14:paraId="355A38F3" w14:textId="77777777" w:rsidR="00B16B05" w:rsidRPr="00B16B05" w:rsidRDefault="00040BF0" w:rsidP="00040BF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04633D">
              <w:rPr>
                <w:rFonts w:ascii="Century Gothic" w:hAnsi="Century Gothic"/>
                <w:color w:val="0000FF"/>
              </w:rPr>
              <w:t>Acta final</w:t>
            </w:r>
          </w:p>
        </w:tc>
      </w:tr>
      <w:tr w:rsidR="00040BF0" w:rsidRPr="00C25840" w14:paraId="1A74560B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140BF343" w14:textId="77777777" w:rsidR="00040BF0" w:rsidRDefault="00040BF0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2982" w:type="dxa"/>
          </w:tcPr>
          <w:p w14:paraId="29800E8F" w14:textId="77777777" w:rsidR="00040BF0" w:rsidRPr="00B16B05" w:rsidRDefault="00040BF0" w:rsidP="00040BF0">
            <w:pPr>
              <w:jc w:val="both"/>
              <w:rPr>
                <w:rFonts w:ascii="Century Gothic" w:hAnsi="Century Gothic" w:cs="Arial"/>
              </w:rPr>
            </w:pPr>
            <w:r w:rsidRPr="00040BF0">
              <w:rPr>
                <w:rFonts w:ascii="Century Gothic" w:hAnsi="Century Gothic" w:cs="Arial"/>
              </w:rPr>
              <w:t>Se registran y archivan los documentos pertinentes de la Amigable composi</w:t>
            </w:r>
            <w:r>
              <w:rPr>
                <w:rFonts w:ascii="Century Gothic" w:hAnsi="Century Gothic" w:cs="Arial"/>
              </w:rPr>
              <w:t>ci</w:t>
            </w:r>
            <w:r w:rsidRPr="00040BF0">
              <w:rPr>
                <w:rFonts w:ascii="Century Gothic" w:hAnsi="Century Gothic" w:cs="Arial"/>
              </w:rPr>
              <w:t>ón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14:paraId="30BB46C9" w14:textId="603BCCBF" w:rsidR="00040BF0" w:rsidRPr="00EF59AF" w:rsidRDefault="00464196" w:rsidP="008A6573">
            <w:pPr>
              <w:jc w:val="center"/>
              <w:rPr>
                <w:rFonts w:ascii="Century Gothic" w:hAnsi="Century Gothic" w:cs="Arial"/>
              </w:rPr>
            </w:pPr>
            <w:r w:rsidRPr="00EF59AF">
              <w:rPr>
                <w:rFonts w:ascii="Century Gothic" w:eastAsia="Calibri" w:hAnsi="Century Gothic" w:cs="Arial"/>
              </w:rPr>
              <w:t>Director del Centro</w:t>
            </w:r>
            <w:r w:rsidR="00CE0A13" w:rsidRPr="00EF59AF">
              <w:rPr>
                <w:rFonts w:ascii="Century Gothic" w:eastAsia="Calibri" w:hAnsi="Century Gothic" w:cs="Arial"/>
              </w:rPr>
              <w:t xml:space="preserve"> o </w:t>
            </w:r>
            <w:r w:rsidR="00901951" w:rsidRPr="00EF59AF">
              <w:rPr>
                <w:rFonts w:ascii="Century Gothic" w:eastAsia="Calibri" w:hAnsi="Century Gothic" w:cs="Arial"/>
              </w:rPr>
              <w:t>Líder I Asesoría Jurídica y Formación Empresarial</w:t>
            </w:r>
            <w:r w:rsidR="00CE0A13" w:rsidRPr="00EF59AF">
              <w:rPr>
                <w:rFonts w:ascii="Century Gothic" w:hAnsi="Century Gothic" w:cs="Arial"/>
              </w:rPr>
              <w:t xml:space="preserve"> o </w:t>
            </w:r>
            <w:r w:rsidR="00901951" w:rsidRPr="00EF59AF">
              <w:rPr>
                <w:rFonts w:ascii="Century Gothic" w:hAnsi="Century Gothic" w:cs="Arial"/>
              </w:rPr>
              <w:t>Gestor Jurídico y de Desarrollo Empresarial</w:t>
            </w:r>
          </w:p>
        </w:tc>
        <w:tc>
          <w:tcPr>
            <w:tcW w:w="3114" w:type="dxa"/>
            <w:vAlign w:val="center"/>
          </w:tcPr>
          <w:p w14:paraId="1B9767C3" w14:textId="77777777" w:rsidR="00040BF0" w:rsidRPr="00B16B05" w:rsidRDefault="00040BF0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716293">
              <w:rPr>
                <w:rFonts w:ascii="Century Gothic" w:hAnsi="Century Gothic"/>
                <w:color w:val="0000FF"/>
              </w:rPr>
              <w:t xml:space="preserve">FOR-CMC-22 </w:t>
            </w:r>
            <w:r>
              <w:rPr>
                <w:rFonts w:ascii="Century Gothic" w:hAnsi="Century Gothic"/>
                <w:color w:val="0000FF"/>
              </w:rPr>
              <w:t>Tabla d</w:t>
            </w:r>
            <w:r w:rsidRPr="00716293">
              <w:rPr>
                <w:rFonts w:ascii="Century Gothic" w:hAnsi="Century Gothic"/>
                <w:color w:val="0000FF"/>
              </w:rPr>
              <w:t>e Retención Documental</w:t>
            </w:r>
          </w:p>
        </w:tc>
      </w:tr>
      <w:tr w:rsidR="006A4B67" w:rsidRPr="00C25840" w14:paraId="6673D595" w14:textId="77777777" w:rsidTr="00865339">
        <w:trPr>
          <w:trHeight w:val="613"/>
          <w:jc w:val="center"/>
        </w:trPr>
        <w:tc>
          <w:tcPr>
            <w:tcW w:w="709" w:type="dxa"/>
            <w:vAlign w:val="center"/>
          </w:tcPr>
          <w:p w14:paraId="7C15B24B" w14:textId="77777777" w:rsidR="006A4B67" w:rsidRPr="00EA7409" w:rsidRDefault="00040BF0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10</w:t>
            </w:r>
          </w:p>
        </w:tc>
        <w:tc>
          <w:tcPr>
            <w:tcW w:w="2982" w:type="dxa"/>
          </w:tcPr>
          <w:p w14:paraId="6765E054" w14:textId="77777777" w:rsidR="006A4B67" w:rsidRPr="00BB0550" w:rsidRDefault="006A4B67" w:rsidP="006A4B6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2551" w:type="dxa"/>
            <w:vAlign w:val="center"/>
          </w:tcPr>
          <w:p w14:paraId="4A5BE4BC" w14:textId="77777777" w:rsidR="006A4B67" w:rsidRPr="00EF59AF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4" w:type="dxa"/>
            <w:vAlign w:val="center"/>
          </w:tcPr>
          <w:p w14:paraId="4262E18E" w14:textId="77777777" w:rsidR="006A4B67" w:rsidRPr="00BB0550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04D59C89" w14:textId="77777777" w:rsidR="00836756" w:rsidRDefault="00836756" w:rsidP="00DF5CDF">
      <w:pPr>
        <w:jc w:val="both"/>
        <w:rPr>
          <w:rFonts w:ascii="Century Gothic" w:hAnsi="Century Gothic" w:cs="Arial"/>
          <w:lang w:val="es-MX"/>
        </w:rPr>
      </w:pPr>
    </w:p>
    <w:p w14:paraId="11E2DA5C" w14:textId="77777777" w:rsidR="00836756" w:rsidRDefault="00836756" w:rsidP="00DF5CDF">
      <w:pPr>
        <w:jc w:val="both"/>
        <w:rPr>
          <w:rFonts w:ascii="Century Gothic" w:hAnsi="Century Gothic" w:cs="Arial"/>
          <w:lang w:val="es-MX"/>
        </w:rPr>
      </w:pPr>
    </w:p>
    <w:p w14:paraId="46DFC3CD" w14:textId="77777777" w:rsidR="00836756" w:rsidRPr="002B1D28" w:rsidRDefault="00836756" w:rsidP="00836756">
      <w:pPr>
        <w:jc w:val="both"/>
        <w:rPr>
          <w:rFonts w:ascii="Century Gothic" w:eastAsia="Arial Unicode MS" w:hAnsi="Century Gothic" w:cs="Arial"/>
          <w:b/>
        </w:rPr>
      </w:pPr>
      <w:r w:rsidRPr="002B1D28">
        <w:rPr>
          <w:rFonts w:ascii="Century Gothic" w:eastAsia="Arial Unicode MS" w:hAnsi="Century Gothic" w:cs="Arial"/>
          <w:b/>
        </w:rPr>
        <w:t>7. NORMATIVAD VIGENTE</w:t>
      </w:r>
    </w:p>
    <w:p w14:paraId="11677B26" w14:textId="77777777" w:rsidR="00836756" w:rsidRPr="002B1D28" w:rsidRDefault="00836756" w:rsidP="00836756">
      <w:pPr>
        <w:jc w:val="both"/>
        <w:rPr>
          <w:rFonts w:ascii="Century Gothic" w:eastAsia="Arial Unicode MS" w:hAnsi="Century Gothic" w:cs="Arial"/>
        </w:rPr>
      </w:pPr>
      <w:r w:rsidRPr="002B1D28">
        <w:rPr>
          <w:rFonts w:ascii="Century Gothic" w:eastAsia="Arial Unicode MS" w:hAnsi="Century Gothic" w:cs="Arial"/>
        </w:rPr>
        <w:t xml:space="preserve">Ver </w:t>
      </w:r>
      <w:r w:rsidRPr="002B1D28">
        <w:rPr>
          <w:rFonts w:ascii="Century Gothic" w:hAnsi="Century Gothic" w:cs="Arial"/>
          <w:color w:val="0000FF"/>
        </w:rPr>
        <w:t xml:space="preserve">FOR-CMC-04 </w:t>
      </w:r>
      <w:r w:rsidR="00CB7A90" w:rsidRPr="002B1D28">
        <w:rPr>
          <w:rFonts w:ascii="Century Gothic" w:eastAsia="Arial Unicode MS" w:hAnsi="Century Gothic" w:cs="Arial"/>
        </w:rPr>
        <w:t>Nomograma</w:t>
      </w:r>
      <w:r w:rsidRPr="002B1D28">
        <w:rPr>
          <w:rFonts w:ascii="Century Gothic" w:eastAsia="Arial Unicode MS" w:hAnsi="Century Gothic" w:cs="Arial"/>
        </w:rPr>
        <w:t xml:space="preserve"> por Procesos </w:t>
      </w:r>
    </w:p>
    <w:p w14:paraId="49EC14F4" w14:textId="7AD81054" w:rsidR="00836756" w:rsidRDefault="00836756" w:rsidP="00836756">
      <w:pPr>
        <w:jc w:val="both"/>
        <w:rPr>
          <w:rFonts w:ascii="Century Gothic" w:eastAsia="Arial Unicode MS" w:hAnsi="Century Gothic" w:cs="Arial"/>
          <w:color w:val="FF0000"/>
        </w:rPr>
      </w:pPr>
    </w:p>
    <w:p w14:paraId="00ECBEAB" w14:textId="77777777" w:rsidR="00836756" w:rsidRPr="002B1D28" w:rsidRDefault="00836756" w:rsidP="00836756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2B1D28">
        <w:rPr>
          <w:rFonts w:ascii="Century Gothic" w:eastAsia="Arial Unicode MS" w:hAnsi="Century Gothic" w:cs="Arial"/>
          <w:b/>
        </w:rPr>
        <w:t>8. INDICADOR</w:t>
      </w:r>
    </w:p>
    <w:p w14:paraId="155B5A6D" w14:textId="77777777" w:rsidR="00836756" w:rsidRPr="002B1D28" w:rsidRDefault="00836756" w:rsidP="00836756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6CA8B2D4" w14:textId="77777777" w:rsidR="00836756" w:rsidRPr="002B1D28" w:rsidRDefault="00836756" w:rsidP="00836756">
      <w:pPr>
        <w:jc w:val="both"/>
        <w:rPr>
          <w:rFonts w:ascii="Century Gothic" w:eastAsia="Arial Unicode MS" w:hAnsi="Century Gothic" w:cs="Arial"/>
        </w:rPr>
      </w:pPr>
      <w:r w:rsidRPr="002B1D28">
        <w:rPr>
          <w:rFonts w:ascii="Century Gothic" w:eastAsia="Arial Unicode MS" w:hAnsi="Century Gothic" w:cs="Arial"/>
        </w:rPr>
        <w:t xml:space="preserve">Ver </w:t>
      </w:r>
      <w:r w:rsidRPr="002B1D28">
        <w:rPr>
          <w:rFonts w:ascii="Century Gothic" w:hAnsi="Century Gothic" w:cs="Arial"/>
          <w:color w:val="0000FF"/>
        </w:rPr>
        <w:t xml:space="preserve">FOR-CMC-20 </w:t>
      </w:r>
      <w:r w:rsidRPr="002B1D28">
        <w:rPr>
          <w:rFonts w:ascii="Century Gothic" w:eastAsia="Arial Unicode MS" w:hAnsi="Century Gothic" w:cs="Arial"/>
        </w:rPr>
        <w:t xml:space="preserve">Tabla de Control de Indicadores </w:t>
      </w:r>
    </w:p>
    <w:p w14:paraId="1EE1734E" w14:textId="77777777" w:rsidR="00836756" w:rsidRPr="00836756" w:rsidRDefault="00836756" w:rsidP="00DF5CDF">
      <w:pPr>
        <w:jc w:val="both"/>
        <w:rPr>
          <w:rFonts w:ascii="Century Gothic" w:hAnsi="Century Gothic" w:cs="Arial"/>
        </w:rPr>
      </w:pPr>
    </w:p>
    <w:sectPr w:rsidR="00836756" w:rsidRPr="00836756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7596" w14:textId="77777777" w:rsidR="00EF4F3C" w:rsidRDefault="00EF4F3C">
      <w:r>
        <w:separator/>
      </w:r>
    </w:p>
  </w:endnote>
  <w:endnote w:type="continuationSeparator" w:id="0">
    <w:p w14:paraId="029D6188" w14:textId="77777777" w:rsidR="00EF4F3C" w:rsidRDefault="00EF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66CF" w14:textId="77777777" w:rsidR="00211B6B" w:rsidRPr="002B1D28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2B1D28">
      <w:rPr>
        <w:rFonts w:ascii="Century Gothic" w:hAnsi="Century Gothic"/>
        <w:color w:val="333333"/>
        <w:sz w:val="18"/>
        <w:szCs w:val="18"/>
      </w:rPr>
      <w:t>CONSULTE EL LISTADO MAESTRO</w:t>
    </w:r>
  </w:p>
  <w:p w14:paraId="0FFE0E29" w14:textId="77777777" w:rsidR="00211B6B" w:rsidRPr="002B1D28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2B1D28">
      <w:rPr>
        <w:rFonts w:ascii="Century Gothic" w:hAnsi="Century Gothic"/>
        <w:color w:val="333333"/>
        <w:sz w:val="18"/>
        <w:szCs w:val="18"/>
      </w:rPr>
      <w:t xml:space="preserve">VERIFIQUE QUE </w:t>
    </w:r>
    <w:proofErr w:type="gramStart"/>
    <w:r w:rsidRPr="002B1D28">
      <w:rPr>
        <w:rFonts w:ascii="Century Gothic" w:hAnsi="Century Gothic"/>
        <w:color w:val="333333"/>
        <w:sz w:val="18"/>
        <w:szCs w:val="18"/>
      </w:rPr>
      <w:t>EL  ESTADO</w:t>
    </w:r>
    <w:proofErr w:type="gramEnd"/>
    <w:r w:rsidRPr="002B1D28">
      <w:rPr>
        <w:rFonts w:ascii="Century Gothic" w:hAnsi="Century Gothic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AEDF" w14:textId="77777777" w:rsidR="00EF4F3C" w:rsidRDefault="00EF4F3C">
      <w:r>
        <w:separator/>
      </w:r>
    </w:p>
  </w:footnote>
  <w:footnote w:type="continuationSeparator" w:id="0">
    <w:p w14:paraId="03B69D6B" w14:textId="77777777" w:rsidR="00EF4F3C" w:rsidRDefault="00EF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03BD" w14:textId="77777777" w:rsidR="004F2FF7" w:rsidRDefault="004F2FF7">
    <w:pPr>
      <w:pStyle w:val="Encabezado"/>
      <w:jc w:val="right"/>
    </w:pPr>
  </w:p>
  <w:tbl>
    <w:tblPr>
      <w:tblW w:w="949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00"/>
      <w:gridCol w:w="5039"/>
      <w:gridCol w:w="1854"/>
    </w:tblGrid>
    <w:tr w:rsidR="004F2FF7" w:rsidRPr="00B1135C" w14:paraId="02BC178E" w14:textId="77777777" w:rsidTr="004F2FF7">
      <w:trPr>
        <w:trHeight w:val="512"/>
      </w:trPr>
      <w:tc>
        <w:tcPr>
          <w:tcW w:w="2600" w:type="dxa"/>
          <w:vMerge w:val="restart"/>
        </w:tcPr>
        <w:p w14:paraId="381D29CD" w14:textId="20AD7620" w:rsidR="004F2FF7" w:rsidRPr="00B1135C" w:rsidRDefault="00384A58" w:rsidP="00384A58">
          <w:pPr>
            <w:pStyle w:val="Encabezado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39996CB0" wp14:editId="4DEB6538">
                <wp:extent cx="15430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Align w:val="center"/>
        </w:tcPr>
        <w:p w14:paraId="51D96388" w14:textId="77777777" w:rsidR="004F2FF7" w:rsidRPr="00B1135C" w:rsidRDefault="004F2FF7" w:rsidP="004F2FF7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>
            <w:rPr>
              <w:rFonts w:ascii="Century Gothic" w:hAnsi="Century Gothic" w:cs="Tahoma"/>
              <w:b/>
              <w:lang w:val="en-US"/>
            </w:rPr>
            <w:t>O-MASC-05</w:t>
          </w:r>
        </w:p>
      </w:tc>
      <w:tc>
        <w:tcPr>
          <w:tcW w:w="1854" w:type="dxa"/>
          <w:vMerge w:val="restart"/>
          <w:vAlign w:val="center"/>
        </w:tcPr>
        <w:p w14:paraId="1BCC2BE1" w14:textId="0A0DCC94" w:rsidR="004F2FF7" w:rsidRPr="00B1135C" w:rsidRDefault="004F2FF7" w:rsidP="004F2FF7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657C79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657C79">
            <w:rPr>
              <w:b/>
              <w:bCs/>
              <w:noProof/>
            </w:rPr>
            <w:t>5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  <w:tr w:rsidR="004F2FF7" w:rsidRPr="00B1135C" w14:paraId="2D9CA29B" w14:textId="77777777" w:rsidTr="004F2FF7">
      <w:tblPrEx>
        <w:tblCellMar>
          <w:left w:w="108" w:type="dxa"/>
          <w:right w:w="108" w:type="dxa"/>
        </w:tblCellMar>
      </w:tblPrEx>
      <w:trPr>
        <w:trHeight w:val="232"/>
      </w:trPr>
      <w:tc>
        <w:tcPr>
          <w:tcW w:w="2600" w:type="dxa"/>
          <w:vMerge/>
        </w:tcPr>
        <w:p w14:paraId="04E05AA3" w14:textId="77777777" w:rsidR="004F2FF7" w:rsidRPr="00B1135C" w:rsidRDefault="004F2FF7" w:rsidP="004F2FF7">
          <w:pPr>
            <w:pStyle w:val="Encabezado"/>
            <w:rPr>
              <w:rFonts w:cs="Arial"/>
              <w:b/>
            </w:rPr>
          </w:pPr>
        </w:p>
      </w:tc>
      <w:tc>
        <w:tcPr>
          <w:tcW w:w="5039" w:type="dxa"/>
          <w:vAlign w:val="center"/>
        </w:tcPr>
        <w:p w14:paraId="2E01CD99" w14:textId="77777777" w:rsidR="004F2FF7" w:rsidRPr="00B1135C" w:rsidRDefault="004F2FF7" w:rsidP="004F2FF7">
          <w:pPr>
            <w:pStyle w:val="Encabezado"/>
            <w:jc w:val="center"/>
            <w:rPr>
              <w:rFonts w:cs="Arial"/>
              <w:b/>
            </w:rPr>
          </w:pPr>
          <w:r w:rsidRPr="00023D56">
            <w:rPr>
              <w:rFonts w:ascii="Century Gothic" w:hAnsi="Century Gothic" w:cs="Tahoma"/>
              <w:b/>
            </w:rPr>
            <w:t>AMIGABLE COMPOSICION</w:t>
          </w:r>
        </w:p>
      </w:tc>
      <w:tc>
        <w:tcPr>
          <w:tcW w:w="1854" w:type="dxa"/>
          <w:vMerge/>
          <w:vAlign w:val="center"/>
        </w:tcPr>
        <w:p w14:paraId="163941C3" w14:textId="77777777" w:rsidR="004F2FF7" w:rsidRPr="00B1135C" w:rsidRDefault="004F2FF7" w:rsidP="004F2FF7">
          <w:pPr>
            <w:pStyle w:val="Encabezado"/>
            <w:rPr>
              <w:rFonts w:cs="Arial"/>
              <w:b/>
            </w:rPr>
          </w:pPr>
        </w:p>
      </w:tc>
    </w:tr>
  </w:tbl>
  <w:p w14:paraId="59C63AB2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7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1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7339951">
    <w:abstractNumId w:val="23"/>
  </w:num>
  <w:num w:numId="2" w16cid:durableId="1702438254">
    <w:abstractNumId w:val="30"/>
  </w:num>
  <w:num w:numId="3" w16cid:durableId="102304902">
    <w:abstractNumId w:val="13"/>
  </w:num>
  <w:num w:numId="4" w16cid:durableId="1866209064">
    <w:abstractNumId w:val="10"/>
  </w:num>
  <w:num w:numId="5" w16cid:durableId="1369842445">
    <w:abstractNumId w:val="24"/>
  </w:num>
  <w:num w:numId="6" w16cid:durableId="697196599">
    <w:abstractNumId w:val="3"/>
  </w:num>
  <w:num w:numId="7" w16cid:durableId="975524135">
    <w:abstractNumId w:val="0"/>
  </w:num>
  <w:num w:numId="8" w16cid:durableId="1089160694">
    <w:abstractNumId w:val="29"/>
  </w:num>
  <w:num w:numId="9" w16cid:durableId="714474212">
    <w:abstractNumId w:val="27"/>
  </w:num>
  <w:num w:numId="10" w16cid:durableId="2039694648">
    <w:abstractNumId w:val="2"/>
  </w:num>
  <w:num w:numId="11" w16cid:durableId="416830838">
    <w:abstractNumId w:val="17"/>
  </w:num>
  <w:num w:numId="12" w16cid:durableId="481432472">
    <w:abstractNumId w:val="26"/>
  </w:num>
  <w:num w:numId="13" w16cid:durableId="1056393423">
    <w:abstractNumId w:val="4"/>
  </w:num>
  <w:num w:numId="14" w16cid:durableId="588737170">
    <w:abstractNumId w:val="28"/>
  </w:num>
  <w:num w:numId="15" w16cid:durableId="1363938233">
    <w:abstractNumId w:val="14"/>
  </w:num>
  <w:num w:numId="16" w16cid:durableId="1717048386">
    <w:abstractNumId w:val="15"/>
  </w:num>
  <w:num w:numId="17" w16cid:durableId="728573897">
    <w:abstractNumId w:val="22"/>
  </w:num>
  <w:num w:numId="18" w16cid:durableId="1150055904">
    <w:abstractNumId w:val="5"/>
  </w:num>
  <w:num w:numId="19" w16cid:durableId="1347633345">
    <w:abstractNumId w:val="6"/>
  </w:num>
  <w:num w:numId="20" w16cid:durableId="282928535">
    <w:abstractNumId w:val="16"/>
  </w:num>
  <w:num w:numId="21" w16cid:durableId="1691754838">
    <w:abstractNumId w:val="12"/>
  </w:num>
  <w:num w:numId="22" w16cid:durableId="128323190">
    <w:abstractNumId w:val="18"/>
  </w:num>
  <w:num w:numId="23" w16cid:durableId="1492402031">
    <w:abstractNumId w:val="1"/>
  </w:num>
  <w:num w:numId="24" w16cid:durableId="1952007593">
    <w:abstractNumId w:val="31"/>
  </w:num>
  <w:num w:numId="25" w16cid:durableId="98515938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9190768">
    <w:abstractNumId w:val="25"/>
  </w:num>
  <w:num w:numId="27" w16cid:durableId="1772774512">
    <w:abstractNumId w:val="19"/>
  </w:num>
  <w:num w:numId="28" w16cid:durableId="402870038">
    <w:abstractNumId w:val="20"/>
  </w:num>
  <w:num w:numId="29" w16cid:durableId="2076538964">
    <w:abstractNumId w:val="8"/>
  </w:num>
  <w:num w:numId="30" w16cid:durableId="402139603">
    <w:abstractNumId w:val="18"/>
  </w:num>
  <w:num w:numId="31" w16cid:durableId="2077967694">
    <w:abstractNumId w:val="21"/>
  </w:num>
  <w:num w:numId="32" w16cid:durableId="1516458909">
    <w:abstractNumId w:val="11"/>
  </w:num>
  <w:num w:numId="33" w16cid:durableId="1676807897">
    <w:abstractNumId w:val="9"/>
  </w:num>
  <w:num w:numId="34" w16cid:durableId="2102142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06A0"/>
    <w:rsid w:val="0000523E"/>
    <w:rsid w:val="000132B3"/>
    <w:rsid w:val="000143B2"/>
    <w:rsid w:val="0001456F"/>
    <w:rsid w:val="00017A76"/>
    <w:rsid w:val="00023D56"/>
    <w:rsid w:val="00026EB2"/>
    <w:rsid w:val="00034828"/>
    <w:rsid w:val="00035464"/>
    <w:rsid w:val="00035CA1"/>
    <w:rsid w:val="00036B9E"/>
    <w:rsid w:val="00036C93"/>
    <w:rsid w:val="00037A76"/>
    <w:rsid w:val="00037D71"/>
    <w:rsid w:val="00040551"/>
    <w:rsid w:val="00040BF0"/>
    <w:rsid w:val="00040D39"/>
    <w:rsid w:val="00041050"/>
    <w:rsid w:val="00042F66"/>
    <w:rsid w:val="00043634"/>
    <w:rsid w:val="0004633D"/>
    <w:rsid w:val="00050685"/>
    <w:rsid w:val="00050A2A"/>
    <w:rsid w:val="00053BD4"/>
    <w:rsid w:val="00054C97"/>
    <w:rsid w:val="000568FA"/>
    <w:rsid w:val="0005735D"/>
    <w:rsid w:val="000616E2"/>
    <w:rsid w:val="0006380E"/>
    <w:rsid w:val="0006569C"/>
    <w:rsid w:val="00065FEC"/>
    <w:rsid w:val="0007174F"/>
    <w:rsid w:val="000726D4"/>
    <w:rsid w:val="00073E1B"/>
    <w:rsid w:val="00076B7B"/>
    <w:rsid w:val="00077263"/>
    <w:rsid w:val="0008255D"/>
    <w:rsid w:val="00086291"/>
    <w:rsid w:val="00086491"/>
    <w:rsid w:val="000928B7"/>
    <w:rsid w:val="00097D04"/>
    <w:rsid w:val="000A0124"/>
    <w:rsid w:val="000A094D"/>
    <w:rsid w:val="000A3F6E"/>
    <w:rsid w:val="000A529E"/>
    <w:rsid w:val="000A70E5"/>
    <w:rsid w:val="000A751F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2DA9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82023"/>
    <w:rsid w:val="00186A11"/>
    <w:rsid w:val="001907E2"/>
    <w:rsid w:val="00193452"/>
    <w:rsid w:val="00193FDB"/>
    <w:rsid w:val="001A06FF"/>
    <w:rsid w:val="001A775A"/>
    <w:rsid w:val="001B1F6F"/>
    <w:rsid w:val="001B313B"/>
    <w:rsid w:val="001B3E5F"/>
    <w:rsid w:val="001B5D88"/>
    <w:rsid w:val="001C06E5"/>
    <w:rsid w:val="001C0B98"/>
    <w:rsid w:val="001D136D"/>
    <w:rsid w:val="001D54AB"/>
    <w:rsid w:val="001E1296"/>
    <w:rsid w:val="001E73AA"/>
    <w:rsid w:val="001F2D6A"/>
    <w:rsid w:val="001F3B1A"/>
    <w:rsid w:val="001F3FC1"/>
    <w:rsid w:val="001F4FDF"/>
    <w:rsid w:val="001F6587"/>
    <w:rsid w:val="001F6C06"/>
    <w:rsid w:val="001F7D98"/>
    <w:rsid w:val="00201F7C"/>
    <w:rsid w:val="00204D6F"/>
    <w:rsid w:val="00205D20"/>
    <w:rsid w:val="00205D29"/>
    <w:rsid w:val="00206B40"/>
    <w:rsid w:val="00207359"/>
    <w:rsid w:val="002075B7"/>
    <w:rsid w:val="00207A02"/>
    <w:rsid w:val="00211041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25921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2158"/>
    <w:rsid w:val="002670EB"/>
    <w:rsid w:val="002713F8"/>
    <w:rsid w:val="002716B0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4F71"/>
    <w:rsid w:val="002A540C"/>
    <w:rsid w:val="002A5422"/>
    <w:rsid w:val="002B0429"/>
    <w:rsid w:val="002B1D28"/>
    <w:rsid w:val="002B4A04"/>
    <w:rsid w:val="002B4B2C"/>
    <w:rsid w:val="002B52F5"/>
    <w:rsid w:val="002C122C"/>
    <w:rsid w:val="002C28B9"/>
    <w:rsid w:val="002C5D99"/>
    <w:rsid w:val="002C622F"/>
    <w:rsid w:val="002C6292"/>
    <w:rsid w:val="002D148D"/>
    <w:rsid w:val="002E0060"/>
    <w:rsid w:val="002E1465"/>
    <w:rsid w:val="002E49A9"/>
    <w:rsid w:val="002F0AE7"/>
    <w:rsid w:val="002F1C7B"/>
    <w:rsid w:val="002F366D"/>
    <w:rsid w:val="002F60D3"/>
    <w:rsid w:val="002F7375"/>
    <w:rsid w:val="00303667"/>
    <w:rsid w:val="003044C0"/>
    <w:rsid w:val="003044E1"/>
    <w:rsid w:val="00311F97"/>
    <w:rsid w:val="00314865"/>
    <w:rsid w:val="0031717E"/>
    <w:rsid w:val="0032086A"/>
    <w:rsid w:val="00321FDB"/>
    <w:rsid w:val="00323693"/>
    <w:rsid w:val="00324FED"/>
    <w:rsid w:val="0032627E"/>
    <w:rsid w:val="00331248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2825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82FE9"/>
    <w:rsid w:val="00384A58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637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05A09"/>
    <w:rsid w:val="00412A4C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4196"/>
    <w:rsid w:val="00465A5F"/>
    <w:rsid w:val="004669B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5F56"/>
    <w:rsid w:val="004C19B2"/>
    <w:rsid w:val="004C4DD5"/>
    <w:rsid w:val="004C4F87"/>
    <w:rsid w:val="004C598D"/>
    <w:rsid w:val="004C68C7"/>
    <w:rsid w:val="004C6AE9"/>
    <w:rsid w:val="004C6CB4"/>
    <w:rsid w:val="004D233E"/>
    <w:rsid w:val="004E075B"/>
    <w:rsid w:val="004E1DD7"/>
    <w:rsid w:val="004E3E8E"/>
    <w:rsid w:val="004E61B9"/>
    <w:rsid w:val="004E6AE1"/>
    <w:rsid w:val="004E714A"/>
    <w:rsid w:val="004F0D7D"/>
    <w:rsid w:val="004F2FF7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3CBB"/>
    <w:rsid w:val="00554429"/>
    <w:rsid w:val="00555860"/>
    <w:rsid w:val="00557943"/>
    <w:rsid w:val="00561108"/>
    <w:rsid w:val="00561913"/>
    <w:rsid w:val="00566420"/>
    <w:rsid w:val="005666A1"/>
    <w:rsid w:val="00570BBE"/>
    <w:rsid w:val="005729B5"/>
    <w:rsid w:val="005736E5"/>
    <w:rsid w:val="00573AC7"/>
    <w:rsid w:val="00573F77"/>
    <w:rsid w:val="005770DA"/>
    <w:rsid w:val="005912A3"/>
    <w:rsid w:val="005938A5"/>
    <w:rsid w:val="00594162"/>
    <w:rsid w:val="00595199"/>
    <w:rsid w:val="00597D1B"/>
    <w:rsid w:val="005A018D"/>
    <w:rsid w:val="005A03F1"/>
    <w:rsid w:val="005A175B"/>
    <w:rsid w:val="005A1D4E"/>
    <w:rsid w:val="005A2DC9"/>
    <w:rsid w:val="005A4D12"/>
    <w:rsid w:val="005B03FB"/>
    <w:rsid w:val="005B123E"/>
    <w:rsid w:val="005B2683"/>
    <w:rsid w:val="005B2924"/>
    <w:rsid w:val="005B2AA5"/>
    <w:rsid w:val="005B65D3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112E5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57C79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4D0C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E72D9"/>
    <w:rsid w:val="006F44AD"/>
    <w:rsid w:val="006F7EA7"/>
    <w:rsid w:val="007031EC"/>
    <w:rsid w:val="00703638"/>
    <w:rsid w:val="007152FC"/>
    <w:rsid w:val="0072144D"/>
    <w:rsid w:val="00723985"/>
    <w:rsid w:val="00723C2C"/>
    <w:rsid w:val="00731DF9"/>
    <w:rsid w:val="00732E6A"/>
    <w:rsid w:val="007356AD"/>
    <w:rsid w:val="00737603"/>
    <w:rsid w:val="00740071"/>
    <w:rsid w:val="007418CA"/>
    <w:rsid w:val="00742E8A"/>
    <w:rsid w:val="00744073"/>
    <w:rsid w:val="0074502D"/>
    <w:rsid w:val="007458D0"/>
    <w:rsid w:val="00746A88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B27D4"/>
    <w:rsid w:val="007B2FF1"/>
    <w:rsid w:val="007B391E"/>
    <w:rsid w:val="007C0B69"/>
    <w:rsid w:val="007C32F9"/>
    <w:rsid w:val="007D1AFB"/>
    <w:rsid w:val="007F4F04"/>
    <w:rsid w:val="008001A3"/>
    <w:rsid w:val="0080140C"/>
    <w:rsid w:val="00801B54"/>
    <w:rsid w:val="00802941"/>
    <w:rsid w:val="00803583"/>
    <w:rsid w:val="00817634"/>
    <w:rsid w:val="00820F94"/>
    <w:rsid w:val="008230C9"/>
    <w:rsid w:val="00823667"/>
    <w:rsid w:val="0082679D"/>
    <w:rsid w:val="008326C5"/>
    <w:rsid w:val="00833763"/>
    <w:rsid w:val="008343CE"/>
    <w:rsid w:val="00836756"/>
    <w:rsid w:val="00841AF2"/>
    <w:rsid w:val="00845AEA"/>
    <w:rsid w:val="0085078A"/>
    <w:rsid w:val="00850BDD"/>
    <w:rsid w:val="00850D49"/>
    <w:rsid w:val="0085189A"/>
    <w:rsid w:val="00855EDE"/>
    <w:rsid w:val="008563AD"/>
    <w:rsid w:val="00860FB2"/>
    <w:rsid w:val="00865339"/>
    <w:rsid w:val="0087132A"/>
    <w:rsid w:val="00873123"/>
    <w:rsid w:val="008735A8"/>
    <w:rsid w:val="00874D1C"/>
    <w:rsid w:val="00875296"/>
    <w:rsid w:val="008753FB"/>
    <w:rsid w:val="008754D8"/>
    <w:rsid w:val="00877AFF"/>
    <w:rsid w:val="0088131B"/>
    <w:rsid w:val="0088192F"/>
    <w:rsid w:val="008838FD"/>
    <w:rsid w:val="00887E2E"/>
    <w:rsid w:val="00891B2F"/>
    <w:rsid w:val="0089272E"/>
    <w:rsid w:val="008A0423"/>
    <w:rsid w:val="008A0C99"/>
    <w:rsid w:val="008A6573"/>
    <w:rsid w:val="008B08C9"/>
    <w:rsid w:val="008B0ADB"/>
    <w:rsid w:val="008B4081"/>
    <w:rsid w:val="008B782A"/>
    <w:rsid w:val="008C5A03"/>
    <w:rsid w:val="008C5C17"/>
    <w:rsid w:val="008C6CBA"/>
    <w:rsid w:val="008C74A6"/>
    <w:rsid w:val="008C7C38"/>
    <w:rsid w:val="008D2A65"/>
    <w:rsid w:val="008D3FBA"/>
    <w:rsid w:val="008D43B4"/>
    <w:rsid w:val="008D6627"/>
    <w:rsid w:val="008F0D5D"/>
    <w:rsid w:val="008F161C"/>
    <w:rsid w:val="008F42B9"/>
    <w:rsid w:val="008F6A63"/>
    <w:rsid w:val="00901951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679"/>
    <w:rsid w:val="009447AC"/>
    <w:rsid w:val="00951E5F"/>
    <w:rsid w:val="0095366D"/>
    <w:rsid w:val="00954A0F"/>
    <w:rsid w:val="00960294"/>
    <w:rsid w:val="0096046F"/>
    <w:rsid w:val="009672DC"/>
    <w:rsid w:val="00971A91"/>
    <w:rsid w:val="009722C9"/>
    <w:rsid w:val="009811AB"/>
    <w:rsid w:val="009813A6"/>
    <w:rsid w:val="00981BDF"/>
    <w:rsid w:val="00985647"/>
    <w:rsid w:val="00985A8B"/>
    <w:rsid w:val="00986435"/>
    <w:rsid w:val="009864E9"/>
    <w:rsid w:val="00986AE0"/>
    <w:rsid w:val="00986EE4"/>
    <w:rsid w:val="00992202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E4337"/>
    <w:rsid w:val="009E5311"/>
    <w:rsid w:val="009F02D3"/>
    <w:rsid w:val="009F0F44"/>
    <w:rsid w:val="009F4157"/>
    <w:rsid w:val="00A02458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6EF3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AF65A0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16B05"/>
    <w:rsid w:val="00B30578"/>
    <w:rsid w:val="00B30DED"/>
    <w:rsid w:val="00B3190D"/>
    <w:rsid w:val="00B33C53"/>
    <w:rsid w:val="00B3467A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77EC2"/>
    <w:rsid w:val="00B80D39"/>
    <w:rsid w:val="00B8261E"/>
    <w:rsid w:val="00B8534F"/>
    <w:rsid w:val="00B87372"/>
    <w:rsid w:val="00B8783B"/>
    <w:rsid w:val="00B90C20"/>
    <w:rsid w:val="00B94CB0"/>
    <w:rsid w:val="00BA113C"/>
    <w:rsid w:val="00BB0550"/>
    <w:rsid w:val="00BB18E6"/>
    <w:rsid w:val="00BB3530"/>
    <w:rsid w:val="00BB4D8F"/>
    <w:rsid w:val="00BB59DA"/>
    <w:rsid w:val="00BB64B0"/>
    <w:rsid w:val="00BC7E58"/>
    <w:rsid w:val="00BE10A5"/>
    <w:rsid w:val="00BE74E0"/>
    <w:rsid w:val="00BF2572"/>
    <w:rsid w:val="00BF3A95"/>
    <w:rsid w:val="00BF627F"/>
    <w:rsid w:val="00BF70D8"/>
    <w:rsid w:val="00BF7851"/>
    <w:rsid w:val="00C14E42"/>
    <w:rsid w:val="00C177BA"/>
    <w:rsid w:val="00C21AC9"/>
    <w:rsid w:val="00C21EB5"/>
    <w:rsid w:val="00C2360E"/>
    <w:rsid w:val="00C25B46"/>
    <w:rsid w:val="00C27A7B"/>
    <w:rsid w:val="00C35B22"/>
    <w:rsid w:val="00C36B72"/>
    <w:rsid w:val="00C45A78"/>
    <w:rsid w:val="00C47F4D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7AF"/>
    <w:rsid w:val="00C83E73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B7A90"/>
    <w:rsid w:val="00CC0E6E"/>
    <w:rsid w:val="00CC6032"/>
    <w:rsid w:val="00CC6811"/>
    <w:rsid w:val="00CD29BD"/>
    <w:rsid w:val="00CD4F19"/>
    <w:rsid w:val="00CE0A13"/>
    <w:rsid w:val="00CE19DE"/>
    <w:rsid w:val="00CE2A26"/>
    <w:rsid w:val="00CE52DD"/>
    <w:rsid w:val="00CF2567"/>
    <w:rsid w:val="00CF46B8"/>
    <w:rsid w:val="00CF757B"/>
    <w:rsid w:val="00D03470"/>
    <w:rsid w:val="00D04A1D"/>
    <w:rsid w:val="00D0567B"/>
    <w:rsid w:val="00D107A3"/>
    <w:rsid w:val="00D11B8F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12EA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6757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622C"/>
    <w:rsid w:val="00DE3714"/>
    <w:rsid w:val="00DE4550"/>
    <w:rsid w:val="00DE546E"/>
    <w:rsid w:val="00DE742E"/>
    <w:rsid w:val="00DE7C7D"/>
    <w:rsid w:val="00DF05E6"/>
    <w:rsid w:val="00DF0D37"/>
    <w:rsid w:val="00DF5CDF"/>
    <w:rsid w:val="00DF5CEF"/>
    <w:rsid w:val="00DF6744"/>
    <w:rsid w:val="00E01D2D"/>
    <w:rsid w:val="00E03E34"/>
    <w:rsid w:val="00E04E4E"/>
    <w:rsid w:val="00E04EEA"/>
    <w:rsid w:val="00E11E8A"/>
    <w:rsid w:val="00E1608F"/>
    <w:rsid w:val="00E17B81"/>
    <w:rsid w:val="00E21932"/>
    <w:rsid w:val="00E26106"/>
    <w:rsid w:val="00E302AF"/>
    <w:rsid w:val="00E34CD1"/>
    <w:rsid w:val="00E36ABA"/>
    <w:rsid w:val="00E373A5"/>
    <w:rsid w:val="00E4024A"/>
    <w:rsid w:val="00E42844"/>
    <w:rsid w:val="00E43F55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2BB0"/>
    <w:rsid w:val="00E73D15"/>
    <w:rsid w:val="00E900C4"/>
    <w:rsid w:val="00EA027C"/>
    <w:rsid w:val="00EA110C"/>
    <w:rsid w:val="00EA7D80"/>
    <w:rsid w:val="00EB14C9"/>
    <w:rsid w:val="00EB593B"/>
    <w:rsid w:val="00EB7471"/>
    <w:rsid w:val="00EB7CEF"/>
    <w:rsid w:val="00EC3FB5"/>
    <w:rsid w:val="00EC6EBB"/>
    <w:rsid w:val="00EC74AE"/>
    <w:rsid w:val="00ED2BA5"/>
    <w:rsid w:val="00ED560E"/>
    <w:rsid w:val="00EE1378"/>
    <w:rsid w:val="00EE7940"/>
    <w:rsid w:val="00EF241C"/>
    <w:rsid w:val="00EF4F3C"/>
    <w:rsid w:val="00EF59AF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5EC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2FE3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E2"/>
    <w:rsid w:val="00F94C6C"/>
    <w:rsid w:val="00F97215"/>
    <w:rsid w:val="00FA10CA"/>
    <w:rsid w:val="00FA3C6C"/>
    <w:rsid w:val="00FA77FE"/>
    <w:rsid w:val="00FB165A"/>
    <w:rsid w:val="00FB2389"/>
    <w:rsid w:val="00FC149A"/>
    <w:rsid w:val="00FC2C34"/>
    <w:rsid w:val="00FC3F97"/>
    <w:rsid w:val="00FC5571"/>
    <w:rsid w:val="00FC55BC"/>
    <w:rsid w:val="00FC5723"/>
    <w:rsid w:val="00FD1F0B"/>
    <w:rsid w:val="00FD45F8"/>
    <w:rsid w:val="00FD5FD7"/>
    <w:rsid w:val="00FD686B"/>
    <w:rsid w:val="00FE175C"/>
    <w:rsid w:val="00FE352C"/>
    <w:rsid w:val="00FE5C64"/>
    <w:rsid w:val="00FE76BD"/>
    <w:rsid w:val="00FE79BB"/>
    <w:rsid w:val="00FF118B"/>
    <w:rsid w:val="00FF1EF4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91523"/>
  <w15:docId w15:val="{7FB0910C-994C-43EA-9669-94CDFD07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2</cp:revision>
  <cp:lastPrinted>2016-10-13T19:44:00Z</cp:lastPrinted>
  <dcterms:created xsi:type="dcterms:W3CDTF">2025-04-29T23:41:00Z</dcterms:created>
  <dcterms:modified xsi:type="dcterms:W3CDTF">2025-04-29T23:41:00Z</dcterms:modified>
</cp:coreProperties>
</file>