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A19" w14:textId="73CA1713" w:rsidR="003B48D3" w:rsidRPr="00E87CBC" w:rsidRDefault="003B48D3" w:rsidP="00B3755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CBC">
        <w:rPr>
          <w:rFonts w:ascii="Century Gothic" w:hAnsi="Century Gothic"/>
          <w:b/>
          <w:sz w:val="20"/>
          <w:szCs w:val="20"/>
        </w:rPr>
        <w:t>PORTADA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316"/>
      </w:tblGrid>
      <w:tr w:rsidR="003B48D3" w:rsidRPr="00E87CBC" w14:paraId="2E0A52D9" w14:textId="77777777" w:rsidTr="5BC7E1DE">
        <w:trPr>
          <w:trHeight w:val="406"/>
        </w:trPr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1614FF2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7316" w:type="dxa"/>
            <w:shd w:val="clear" w:color="auto" w:fill="BFBFBF" w:themeFill="background1" w:themeFillShade="BF"/>
            <w:vAlign w:val="center"/>
          </w:tcPr>
          <w:p w14:paraId="5D44A8BD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JUSTIFICACIÓN DE LA MODIFICACIÓN</w:t>
            </w:r>
          </w:p>
        </w:tc>
      </w:tr>
      <w:tr w:rsidR="003B48D3" w:rsidRPr="00E87CBC" w14:paraId="3424689D" w14:textId="77777777" w:rsidTr="5BC7E1DE">
        <w:tc>
          <w:tcPr>
            <w:tcW w:w="1512" w:type="dxa"/>
            <w:shd w:val="clear" w:color="auto" w:fill="auto"/>
            <w:vAlign w:val="center"/>
          </w:tcPr>
          <w:p w14:paraId="5D190FCB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7316" w:type="dxa"/>
            <w:shd w:val="clear" w:color="auto" w:fill="auto"/>
          </w:tcPr>
          <w:p w14:paraId="257FCB18" w14:textId="2A9FCB72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30 de noviembre de 2016</w:t>
            </w:r>
          </w:p>
          <w:p w14:paraId="1E3D63A5" w14:textId="177B6478" w:rsidR="003B48D3" w:rsidRPr="00E87CBC" w:rsidRDefault="003B48D3" w:rsidP="00B375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Lanzamiento</w:t>
            </w:r>
          </w:p>
        </w:tc>
      </w:tr>
      <w:tr w:rsidR="008E098C" w:rsidRPr="00E87CBC" w14:paraId="145C6BA3" w14:textId="77777777" w:rsidTr="5BC7E1DE">
        <w:tc>
          <w:tcPr>
            <w:tcW w:w="1512" w:type="dxa"/>
            <w:shd w:val="clear" w:color="auto" w:fill="auto"/>
            <w:vAlign w:val="center"/>
          </w:tcPr>
          <w:p w14:paraId="0038F2B2" w14:textId="7F937A8B" w:rsidR="008E098C" w:rsidRPr="00E87CBC" w:rsidRDefault="008E098C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7316" w:type="dxa"/>
            <w:shd w:val="clear" w:color="auto" w:fill="auto"/>
          </w:tcPr>
          <w:p w14:paraId="57D12965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17 de julio de 2023</w:t>
            </w:r>
          </w:p>
          <w:p w14:paraId="0E2DEE1F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E87CBC">
              <w:rPr>
                <w:rFonts w:ascii="Century Gothic" w:hAnsi="Century Gothic"/>
                <w:bCs/>
                <w:sz w:val="20"/>
                <w:szCs w:val="20"/>
              </w:rPr>
              <w:t>Cambio de logo</w:t>
            </w:r>
          </w:p>
          <w:p w14:paraId="23C33F34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E098C" w:rsidRPr="00E87CBC" w14:paraId="6893BB4D" w14:textId="77777777" w:rsidTr="5BC7E1DE">
        <w:tc>
          <w:tcPr>
            <w:tcW w:w="1512" w:type="dxa"/>
            <w:shd w:val="clear" w:color="auto" w:fill="auto"/>
            <w:vAlign w:val="center"/>
          </w:tcPr>
          <w:p w14:paraId="73CE274C" w14:textId="2209864A" w:rsidR="008E098C" w:rsidRPr="00E87CBC" w:rsidRDefault="008E098C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7316" w:type="dxa"/>
            <w:shd w:val="clear" w:color="auto" w:fill="auto"/>
          </w:tcPr>
          <w:p w14:paraId="2C1F22EC" w14:textId="08EB59FF" w:rsidR="008E098C" w:rsidRPr="00E87CBC" w:rsidRDefault="00EB489D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11 de </w:t>
            </w:r>
            <w:r w:rsidR="00787FA4">
              <w:rPr>
                <w:rFonts w:ascii="Century Gothic" w:hAnsi="Century Gothic"/>
                <w:b/>
                <w:sz w:val="20"/>
                <w:szCs w:val="20"/>
              </w:rPr>
              <w:t>enero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202</w:t>
            </w:r>
            <w:r w:rsidR="006973EB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26781A3F" w14:textId="2BB45509" w:rsidR="008E098C" w:rsidRPr="00E87CBC" w:rsidRDefault="008E098C" w:rsidP="008E098C">
            <w:pPr>
              <w:pStyle w:val="TDC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Inclusión Rubro Numeral 8 Rubros de Inversión</w:t>
            </w:r>
          </w:p>
        </w:tc>
      </w:tr>
      <w:tr w:rsidR="009F732D" w:rsidRPr="00E87CBC" w14:paraId="4C25668A" w14:textId="77777777" w:rsidTr="5BC7E1DE">
        <w:tc>
          <w:tcPr>
            <w:tcW w:w="1512" w:type="dxa"/>
            <w:shd w:val="clear" w:color="auto" w:fill="auto"/>
            <w:vAlign w:val="center"/>
          </w:tcPr>
          <w:p w14:paraId="5BF875C9" w14:textId="0CD4EF98" w:rsidR="009F732D" w:rsidRDefault="009F732D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7316" w:type="dxa"/>
            <w:shd w:val="clear" w:color="auto" w:fill="auto"/>
          </w:tcPr>
          <w:p w14:paraId="44D362FE" w14:textId="312083F4" w:rsidR="009F732D" w:rsidRPr="00E87CBC" w:rsidRDefault="007133EB" w:rsidP="5BC7E1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 de agosto</w:t>
            </w:r>
            <w:r w:rsidR="418333C0"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F732D"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de 2024</w:t>
            </w:r>
          </w:p>
          <w:p w14:paraId="37FDE718" w14:textId="092A6BD8" w:rsidR="009F732D" w:rsidRDefault="004032AD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Actualización </w:t>
            </w:r>
            <w:r w:rsidR="00A05FD6">
              <w:rPr>
                <w:rFonts w:ascii="Century Gothic" w:hAnsi="Century Gothic"/>
                <w:bCs/>
                <w:sz w:val="20"/>
                <w:szCs w:val="20"/>
              </w:rPr>
              <w:t>de</w:t>
            </w:r>
            <w:r w:rsidR="006132ED">
              <w:rPr>
                <w:rFonts w:ascii="Century Gothic" w:hAnsi="Century Gothic"/>
                <w:bCs/>
                <w:sz w:val="20"/>
                <w:szCs w:val="20"/>
              </w:rPr>
              <w:t xml:space="preserve"> marco</w:t>
            </w:r>
            <w:r w:rsidR="00A05FD6">
              <w:rPr>
                <w:rFonts w:ascii="Century Gothic" w:hAnsi="Century Gothic"/>
                <w:bCs/>
                <w:sz w:val="20"/>
                <w:szCs w:val="20"/>
              </w:rPr>
              <w:t xml:space="preserve"> legal</w:t>
            </w:r>
          </w:p>
          <w:p w14:paraId="776276C1" w14:textId="3B488B56" w:rsidR="001E4569" w:rsidRDefault="001E4569" w:rsidP="001E4569">
            <w:pPr>
              <w:spacing w:after="0" w:line="240" w:lineRule="auto"/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Cambio de la Superintendencia de Industria y comercio por </w:t>
            </w:r>
            <w:r w:rsidR="00FD268E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uperintendencia de Sociedades</w:t>
            </w:r>
          </w:p>
          <w:p w14:paraId="4BB693E8" w14:textId="77777777" w:rsidR="008C52F0" w:rsidRDefault="008C52F0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Relación de las fuentes de financiación del plan de inversión</w:t>
            </w:r>
          </w:p>
          <w:p w14:paraId="65CB87CB" w14:textId="36DCBB3E" w:rsidR="00FD268E" w:rsidRDefault="00FD268E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Actualización de fecha de fase de aprobación.</w:t>
            </w:r>
          </w:p>
        </w:tc>
      </w:tr>
      <w:tr w:rsidR="00C467FA" w:rsidRPr="00E87CBC" w14:paraId="66FC1221" w14:textId="77777777" w:rsidTr="5BC7E1DE">
        <w:tc>
          <w:tcPr>
            <w:tcW w:w="1512" w:type="dxa"/>
            <w:shd w:val="clear" w:color="auto" w:fill="auto"/>
            <w:vAlign w:val="center"/>
          </w:tcPr>
          <w:p w14:paraId="7B9EE25C" w14:textId="6F507645" w:rsidR="00C467FA" w:rsidRDefault="00C467FA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7316" w:type="dxa"/>
            <w:shd w:val="clear" w:color="auto" w:fill="auto"/>
          </w:tcPr>
          <w:p w14:paraId="648E4320" w14:textId="77777777" w:rsidR="00C467FA" w:rsidRDefault="00C467FA" w:rsidP="5BC7E1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11 de 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Febrero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2025</w:t>
            </w:r>
          </w:p>
          <w:p w14:paraId="195EDAC9" w14:textId="63D662F6" w:rsidR="00C467FA" w:rsidRPr="004B278D" w:rsidRDefault="004B278D" w:rsidP="004B278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B278D">
              <w:rPr>
                <w:rFonts w:ascii="Century Gothic" w:hAnsi="Century Gothic"/>
                <w:sz w:val="20"/>
                <w:szCs w:val="20"/>
              </w:rPr>
              <w:t>Actualización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logo</w:t>
            </w:r>
          </w:p>
        </w:tc>
      </w:tr>
    </w:tbl>
    <w:p w14:paraId="77127808" w14:textId="77777777" w:rsidR="003B48D3" w:rsidRPr="00E87CBC" w:rsidRDefault="003B48D3" w:rsidP="003B48D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695"/>
        <w:gridCol w:w="1329"/>
        <w:gridCol w:w="437"/>
        <w:gridCol w:w="1134"/>
        <w:gridCol w:w="2912"/>
      </w:tblGrid>
      <w:tr w:rsidR="003B48D3" w:rsidRPr="00E87CBC" w14:paraId="69CD9A5A" w14:textId="77777777" w:rsidTr="5BC7E1DE">
        <w:trPr>
          <w:trHeight w:val="39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14:paraId="1A93B036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900" w:type="dxa"/>
            <w:gridSpan w:val="3"/>
            <w:shd w:val="clear" w:color="auto" w:fill="BFBFBF" w:themeFill="background1" w:themeFillShade="BF"/>
            <w:vAlign w:val="center"/>
          </w:tcPr>
          <w:p w14:paraId="2EDBD146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41F8331C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</w:tr>
      <w:tr w:rsidR="003B48D3" w:rsidRPr="00E87CBC" w14:paraId="6AC1FB4E" w14:textId="77777777" w:rsidTr="5BC7E1DE">
        <w:tc>
          <w:tcPr>
            <w:tcW w:w="3085" w:type="dxa"/>
            <w:gridSpan w:val="2"/>
            <w:shd w:val="clear" w:color="auto" w:fill="auto"/>
          </w:tcPr>
          <w:p w14:paraId="0FA75F17" w14:textId="1AC410EF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Luis Alexander Rocha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22F7BA84" w14:textId="2809839D" w:rsidR="003B48D3" w:rsidRPr="00E87CBC" w:rsidRDefault="003B48D3" w:rsidP="00FA0F6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0F63">
              <w:rPr>
                <w:rFonts w:ascii="Century Gothic" w:hAnsi="Century Gothic"/>
                <w:sz w:val="20"/>
                <w:szCs w:val="20"/>
              </w:rPr>
              <w:t>Julián Díaz Rojas</w:t>
            </w:r>
          </w:p>
        </w:tc>
        <w:tc>
          <w:tcPr>
            <w:tcW w:w="2912" w:type="dxa"/>
            <w:shd w:val="clear" w:color="auto" w:fill="auto"/>
          </w:tcPr>
          <w:p w14:paraId="14BB2688" w14:textId="613B0FDF" w:rsidR="003B48D3" w:rsidRPr="00E87CBC" w:rsidRDefault="003B48D3" w:rsidP="00FA0F63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Nombre:</w:t>
            </w:r>
            <w:r w:rsidRPr="5BC7E1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33EB">
              <w:rPr>
                <w:rFonts w:ascii="Century Gothic" w:hAnsi="Century Gothic"/>
                <w:sz w:val="20"/>
                <w:szCs w:val="20"/>
              </w:rPr>
              <w:t>Julián Díaz Rojas</w:t>
            </w:r>
          </w:p>
        </w:tc>
      </w:tr>
      <w:tr w:rsidR="003B48D3" w:rsidRPr="00E87CBC" w14:paraId="38F9B9A6" w14:textId="77777777" w:rsidTr="5BC7E1DE">
        <w:tc>
          <w:tcPr>
            <w:tcW w:w="3085" w:type="dxa"/>
            <w:gridSpan w:val="2"/>
            <w:shd w:val="clear" w:color="auto" w:fill="auto"/>
          </w:tcPr>
          <w:p w14:paraId="2ED2DF9D" w14:textId="5FE96BDE" w:rsidR="003B48D3" w:rsidRPr="00E87CBC" w:rsidRDefault="003B48D3" w:rsidP="007133EB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Coordinador </w:t>
            </w:r>
            <w:r w:rsidR="007133EB">
              <w:rPr>
                <w:rFonts w:ascii="Century Gothic" w:hAnsi="Century Gothic"/>
                <w:sz w:val="20"/>
                <w:szCs w:val="20"/>
              </w:rPr>
              <w:t>f</w:t>
            </w:r>
            <w:r w:rsidRPr="00E87CBC">
              <w:rPr>
                <w:rFonts w:ascii="Century Gothic" w:hAnsi="Century Gothic"/>
                <w:sz w:val="20"/>
                <w:szCs w:val="20"/>
              </w:rPr>
              <w:t>inanciero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6AD962AC" w14:textId="7D49DE67" w:rsidR="003B48D3" w:rsidRPr="00E87CBC" w:rsidRDefault="003B48D3" w:rsidP="00DC1CCE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="00FA0F63">
              <w:rPr>
                <w:rFonts w:ascii="Century Gothic" w:hAnsi="Century Gothic"/>
                <w:sz w:val="20"/>
                <w:szCs w:val="20"/>
              </w:rPr>
              <w:t xml:space="preserve"> Director</w:t>
            </w:r>
            <w:r w:rsidR="00DC1C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0F63">
              <w:rPr>
                <w:rFonts w:ascii="Century Gothic" w:hAnsi="Century Gothic"/>
                <w:sz w:val="20"/>
                <w:szCs w:val="20"/>
              </w:rPr>
              <w:t>Administrativo y Financiero</w:t>
            </w:r>
          </w:p>
        </w:tc>
        <w:tc>
          <w:tcPr>
            <w:tcW w:w="2912" w:type="dxa"/>
            <w:shd w:val="clear" w:color="auto" w:fill="auto"/>
          </w:tcPr>
          <w:p w14:paraId="30AB5C1E" w14:textId="7C559A23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Cargo:</w:t>
            </w:r>
            <w:r w:rsidRPr="5BC7E1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33EB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</w:tr>
      <w:tr w:rsidR="003B48D3" w:rsidRPr="008E098C" w14:paraId="7B897562" w14:textId="77777777" w:rsidTr="5BC7E1DE">
        <w:tc>
          <w:tcPr>
            <w:tcW w:w="3085" w:type="dxa"/>
            <w:gridSpan w:val="2"/>
            <w:shd w:val="clear" w:color="auto" w:fill="auto"/>
          </w:tcPr>
          <w:p w14:paraId="5F53EB78" w14:textId="0C6DF7F3" w:rsidR="003B48D3" w:rsidRPr="008E098C" w:rsidRDefault="003B48D3" w:rsidP="00FA0F6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8501D" w:rsidRPr="5BC7E1DE">
              <w:rPr>
                <w:rFonts w:ascii="Century Gothic" w:hAnsi="Century Gothic"/>
                <w:sz w:val="18"/>
                <w:szCs w:val="18"/>
              </w:rPr>
              <w:t>de 2024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317D5674" w14:textId="1BE8B670" w:rsidR="003B48D3" w:rsidRPr="008E098C" w:rsidRDefault="003B48D3" w:rsidP="00FF3D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 xml:space="preserve"> de 2024</w:t>
            </w:r>
          </w:p>
        </w:tc>
        <w:tc>
          <w:tcPr>
            <w:tcW w:w="2912" w:type="dxa"/>
            <w:shd w:val="clear" w:color="auto" w:fill="auto"/>
          </w:tcPr>
          <w:p w14:paraId="306A5D49" w14:textId="02045A11" w:rsidR="003B48D3" w:rsidRPr="008E098C" w:rsidRDefault="003B48D3" w:rsidP="00FF3D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1F4B9AF5"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>de 2024</w:t>
            </w:r>
          </w:p>
        </w:tc>
      </w:tr>
      <w:tr w:rsidR="003B48D3" w:rsidRPr="00E87CBC" w14:paraId="10ABF0FE" w14:textId="77777777" w:rsidTr="5BC7E1DE">
        <w:trPr>
          <w:trHeight w:val="388"/>
        </w:trPr>
        <w:tc>
          <w:tcPr>
            <w:tcW w:w="8897" w:type="dxa"/>
            <w:gridSpan w:val="6"/>
            <w:shd w:val="clear" w:color="auto" w:fill="BFBFBF" w:themeFill="background1" w:themeFillShade="BF"/>
            <w:vAlign w:val="center"/>
          </w:tcPr>
          <w:p w14:paraId="58996B08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LISTA DE DISTRIBUCIÓN</w:t>
            </w:r>
          </w:p>
        </w:tc>
      </w:tr>
      <w:tr w:rsidR="003B48D3" w:rsidRPr="00E87CBC" w14:paraId="146DC448" w14:textId="77777777" w:rsidTr="5BC7E1DE">
        <w:tc>
          <w:tcPr>
            <w:tcW w:w="390" w:type="dxa"/>
            <w:shd w:val="clear" w:color="auto" w:fill="auto"/>
            <w:vAlign w:val="center"/>
          </w:tcPr>
          <w:p w14:paraId="2F49070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1F9E9D30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Presidente Ejecutivo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00FC87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7E48275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Asuntos Jurídicos</w:t>
            </w:r>
          </w:p>
        </w:tc>
      </w:tr>
      <w:tr w:rsidR="003B48D3" w:rsidRPr="00E87CBC" w14:paraId="1E5F9F9C" w14:textId="77777777" w:rsidTr="5BC7E1DE">
        <w:tc>
          <w:tcPr>
            <w:tcW w:w="390" w:type="dxa"/>
            <w:shd w:val="clear" w:color="auto" w:fill="auto"/>
            <w:vAlign w:val="center"/>
          </w:tcPr>
          <w:p w14:paraId="520FC8B6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93BDB1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Profesional II de Talento Humano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E10565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2B98C238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Desarrollo Institucional</w:t>
            </w:r>
          </w:p>
        </w:tc>
      </w:tr>
      <w:tr w:rsidR="003B48D3" w:rsidRPr="00E87CBC" w14:paraId="23284348" w14:textId="77777777" w:rsidTr="5BC7E1DE">
        <w:tc>
          <w:tcPr>
            <w:tcW w:w="390" w:type="dxa"/>
            <w:shd w:val="clear" w:color="auto" w:fill="auto"/>
            <w:vAlign w:val="center"/>
          </w:tcPr>
          <w:p w14:paraId="557ADF2A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5D030A3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E6CA0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6E0A509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Promoción y Desarrollo</w:t>
            </w:r>
          </w:p>
        </w:tc>
      </w:tr>
      <w:tr w:rsidR="003B48D3" w:rsidRPr="00E87CBC" w14:paraId="37DF8360" w14:textId="77777777" w:rsidTr="5BC7E1DE">
        <w:tc>
          <w:tcPr>
            <w:tcW w:w="390" w:type="dxa"/>
            <w:shd w:val="clear" w:color="auto" w:fill="auto"/>
            <w:vAlign w:val="center"/>
          </w:tcPr>
          <w:p w14:paraId="5AA9E21E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54853F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Administrativa y Financiera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F888E64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4CB574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93B0E4" w14:textId="77777777" w:rsidR="00B37558" w:rsidRPr="00E87CBC" w:rsidRDefault="00B37558" w:rsidP="00453A6E">
      <w:pPr>
        <w:pStyle w:val="TtuloTDC"/>
        <w:spacing w:before="0"/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</w:pPr>
    </w:p>
    <w:sdt>
      <w:sdtPr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  <w:id w:val="310992594"/>
        <w:docPartObj>
          <w:docPartGallery w:val="Table of Contents"/>
          <w:docPartUnique/>
        </w:docPartObj>
      </w:sdtPr>
      <w:sdtEndPr>
        <w:rPr>
          <w:color w:val="000000" w:themeColor="text1"/>
          <w:sz w:val="22"/>
        </w:rPr>
      </w:sdtEndPr>
      <w:sdtContent>
        <w:p w14:paraId="6F7475A6" w14:textId="06E1F405" w:rsidR="00453A6E" w:rsidRPr="00E87CBC" w:rsidRDefault="00426650" w:rsidP="00426650">
          <w:pPr>
            <w:pStyle w:val="TtuloTDC"/>
            <w:spacing w:before="0"/>
            <w:jc w:val="center"/>
            <w:rPr>
              <w:rFonts w:ascii="Century Gothic" w:hAnsi="Century Gothic"/>
              <w:color w:val="auto"/>
              <w:sz w:val="24"/>
              <w:lang w:val="es-ES"/>
            </w:rPr>
          </w:pPr>
          <w:r w:rsidRPr="00E87CBC">
            <w:rPr>
              <w:rFonts w:ascii="Century Gothic" w:hAnsi="Century Gothic"/>
              <w:color w:val="auto"/>
              <w:sz w:val="24"/>
              <w:lang w:val="es-ES"/>
            </w:rPr>
            <w:t>CONTENIDO</w:t>
          </w:r>
        </w:p>
        <w:p w14:paraId="61D2440F" w14:textId="77777777" w:rsidR="00453A6E" w:rsidRPr="00E87CBC" w:rsidRDefault="00453A6E" w:rsidP="00453A6E">
          <w:pPr>
            <w:rPr>
              <w:rFonts w:ascii="Century Gothic" w:hAnsi="Century Gothic"/>
              <w:sz w:val="20"/>
              <w:lang w:eastAsia="es-CO"/>
            </w:rPr>
          </w:pPr>
        </w:p>
        <w:p w14:paraId="0143C17C" w14:textId="3397784C" w:rsidR="002F5DF6" w:rsidRPr="00E87CBC" w:rsidRDefault="009F3D08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r w:rsidRPr="00E87CBC">
            <w:rPr>
              <w:rFonts w:ascii="Century Gothic" w:hAnsi="Century Gothic"/>
              <w:sz w:val="20"/>
            </w:rPr>
            <w:fldChar w:fldCharType="begin"/>
          </w:r>
          <w:r w:rsidR="00453A6E" w:rsidRPr="00E87CBC">
            <w:rPr>
              <w:rFonts w:ascii="Century Gothic" w:hAnsi="Century Gothic"/>
              <w:sz w:val="20"/>
            </w:rPr>
            <w:instrText xml:space="preserve"> TOC \o "1-3" \h \z \u </w:instrText>
          </w:r>
          <w:r w:rsidRPr="00E87CBC">
            <w:rPr>
              <w:rFonts w:ascii="Century Gothic" w:hAnsi="Century Gothic"/>
              <w:sz w:val="20"/>
            </w:rPr>
            <w:fldChar w:fldCharType="separate"/>
          </w:r>
          <w:hyperlink w:anchor="_Toc140256420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1. OBJETIVO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_Toc140256420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627616" w14:textId="451C90FE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1" w:history="1">
            <w:r w:rsidRPr="00E87CBC">
              <w:rPr>
                <w:rStyle w:val="Hipervnculo"/>
                <w:rFonts w:ascii="Century Gothic" w:hAnsi="Century Gothic"/>
                <w:noProof/>
              </w:rPr>
              <w:t>2. BENEFICIO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_Toc140256421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2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58DAC6" w14:textId="4466DEBE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2" w:history="1">
            <w:r w:rsidRPr="00E87CBC">
              <w:rPr>
                <w:rStyle w:val="Hipervnculo"/>
                <w:rFonts w:ascii="Century Gothic" w:hAnsi="Century Gothic"/>
                <w:noProof/>
              </w:rPr>
              <w:t>3. ALCANCE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_Toc140256422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2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ECDA66D" w14:textId="299F9ED4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3" w:history="1">
            <w:r w:rsidRPr="00E87CBC">
              <w:rPr>
                <w:rStyle w:val="Hipervnculo"/>
                <w:rFonts w:ascii="Century Gothic" w:hAnsi="Century Gothic"/>
                <w:noProof/>
              </w:rPr>
              <w:t>4. INTRODUCCIÓN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_Toc140256423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2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276602E" w14:textId="1C2B2805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4" w:history="1">
            <w:r w:rsidRPr="00E87CBC">
              <w:rPr>
                <w:rStyle w:val="Hipervnculo"/>
                <w:rFonts w:ascii="Century Gothic" w:hAnsi="Century Gothic"/>
                <w:noProof/>
              </w:rPr>
              <w:t>5. DEFINICIONES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_Toc140256424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2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5485DD" w14:textId="0BDEEA96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5" w:history="1">
            <w:r w:rsidRPr="00E87CBC">
              <w:rPr>
                <w:rStyle w:val="Hipervnculo"/>
                <w:rFonts w:ascii="Century Gothic" w:hAnsi="Century Gothic"/>
                <w:noProof/>
              </w:rPr>
              <w:t>6. POLÍTICAS DE INVERSIÓN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_Toc140256425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3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A03381" w14:textId="3EDB159B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6" w:history="1">
            <w:r w:rsidRPr="00E87CBC">
              <w:rPr>
                <w:rStyle w:val="Hipervnculo"/>
                <w:rFonts w:ascii="Century Gothic" w:hAnsi="Century Gothic"/>
                <w:noProof/>
              </w:rPr>
              <w:t>7. MARCO LEGAL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_Toc140256426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4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E4D79B" w14:textId="790C603D" w:rsidR="002F5DF6" w:rsidRPr="00E87CBC" w:rsidRDefault="002F5DF6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7" w:history="1">
            <w:r w:rsidRPr="00E87CBC">
              <w:rPr>
                <w:rStyle w:val="Hipervnculo"/>
                <w:rFonts w:ascii="Century Gothic" w:hAnsi="Century Gothic"/>
                <w:noProof/>
              </w:rPr>
              <w:t>8. RUBROS DE INVERSIÓN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_Toc140256427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4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304195" w14:textId="68B9A9BF" w:rsidR="002F5DF6" w:rsidRPr="00E87CBC" w:rsidRDefault="002F5DF6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8" w:history="1">
            <w:r w:rsidRPr="00E87CBC">
              <w:rPr>
                <w:rStyle w:val="Hipervnculo"/>
                <w:rFonts w:ascii="Century Gothic" w:hAnsi="Century Gothic"/>
                <w:noProof/>
              </w:rPr>
              <w:t>9. PLAN DE INVERSIÓN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_Toc140256428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5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B50B6BE" w14:textId="150F7079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9" w:history="1">
            <w:r w:rsidRPr="00E87CBC">
              <w:rPr>
                <w:rStyle w:val="Hipervnculo"/>
                <w:rFonts w:ascii="Century Gothic" w:hAnsi="Century Gothic"/>
                <w:noProof/>
              </w:rPr>
              <w:t>10. METODOLOGÍA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_Toc140256429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5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7F40AF" w14:textId="67208535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0" w:history="1">
            <w:r w:rsidRPr="00E87CBC">
              <w:rPr>
                <w:rStyle w:val="Hipervnculo"/>
                <w:rFonts w:ascii="Century Gothic" w:hAnsi="Century Gothic"/>
                <w:noProof/>
              </w:rPr>
              <w:t>11. PROCEDIMIENTO PARA REALIZAR LAS ACTIVIDADES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_Toc140256430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6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6E1531D" w14:textId="660B0CA0" w:rsidR="002F5DF6" w:rsidRPr="00E87CBC" w:rsidRDefault="002F5DF6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1" w:history="1">
            <w:r w:rsidRPr="00E87CBC">
              <w:rPr>
                <w:rStyle w:val="Hipervnculo"/>
                <w:rFonts w:ascii="Century Gothic" w:hAnsi="Century Gothic"/>
                <w:noProof/>
              </w:rPr>
              <w:t>12. PROCEDIMIENTOS RELACIONADOS</w:t>
            </w:r>
            <w:r w:rsidRPr="00E87CBC">
              <w:rPr>
                <w:rFonts w:ascii="Century Gothic" w:hAnsi="Century Gothic"/>
                <w:noProof/>
                <w:webHidden/>
              </w:rPr>
              <w:tab/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E87CBC">
              <w:rPr>
                <w:rFonts w:ascii="Century Gothic" w:hAnsi="Century Gothic"/>
                <w:noProof/>
                <w:webHidden/>
              </w:rPr>
              <w:instrText xml:space="preserve"> PAGEREF _Toc140256431 \h </w:instrText>
            </w:r>
            <w:r w:rsidRPr="00E87CBC">
              <w:rPr>
                <w:rFonts w:ascii="Century Gothic" w:hAnsi="Century Gothic"/>
                <w:noProof/>
                <w:webHidden/>
              </w:rPr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E87CBC">
              <w:rPr>
                <w:rFonts w:ascii="Century Gothic" w:hAnsi="Century Gothic"/>
                <w:noProof/>
                <w:webHidden/>
              </w:rPr>
              <w:t>8</w:t>
            </w:r>
            <w:r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219DE27" w14:textId="1D3E5BB3" w:rsidR="00453A6E" w:rsidRPr="00E87CBC" w:rsidRDefault="009F3D08">
          <w:pPr>
            <w:rPr>
              <w:rFonts w:ascii="Century Gothic" w:hAnsi="Century Gothic"/>
              <w:sz w:val="22"/>
            </w:rPr>
          </w:pPr>
          <w:r w:rsidRPr="00E87CBC">
            <w:rPr>
              <w:rFonts w:ascii="Century Gothic" w:hAnsi="Century Gothic"/>
              <w:b/>
              <w:bCs/>
              <w:sz w:val="20"/>
            </w:rPr>
            <w:fldChar w:fldCharType="end"/>
          </w:r>
        </w:p>
      </w:sdtContent>
    </w:sdt>
    <w:p w14:paraId="69F76532" w14:textId="77777777" w:rsidR="00716095" w:rsidRPr="00E87CBC" w:rsidRDefault="00E2314D" w:rsidP="00E2314D">
      <w:pPr>
        <w:spacing w:after="0" w:line="276" w:lineRule="auto"/>
        <w:ind w:left="0" w:firstLine="0"/>
        <w:jc w:val="center"/>
        <w:rPr>
          <w:rFonts w:ascii="Century Gothic" w:eastAsia="Calibri" w:hAnsi="Century Gothic"/>
          <w:b/>
          <w:szCs w:val="24"/>
        </w:rPr>
      </w:pPr>
      <w:r w:rsidRPr="00E87CBC">
        <w:rPr>
          <w:rFonts w:ascii="Century Gothic" w:eastAsia="Calibri" w:hAnsi="Century Gothic"/>
          <w:b/>
          <w:szCs w:val="24"/>
        </w:rPr>
        <w:t>MANUAL DE INVERSIÓN</w:t>
      </w:r>
    </w:p>
    <w:p w14:paraId="2E582E9C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0" w:name="_Toc140256420"/>
      <w:r w:rsidRPr="00E87CBC">
        <w:rPr>
          <w:rFonts w:ascii="Century Gothic" w:hAnsi="Century Gothic"/>
          <w:szCs w:val="24"/>
        </w:rPr>
        <w:t xml:space="preserve">1. </w:t>
      </w:r>
      <w:r w:rsidR="00E7435E" w:rsidRPr="00E87CBC">
        <w:rPr>
          <w:rFonts w:ascii="Century Gothic" w:hAnsi="Century Gothic"/>
          <w:szCs w:val="24"/>
        </w:rPr>
        <w:t>OBJETIVO</w:t>
      </w:r>
      <w:bookmarkEnd w:id="0"/>
    </w:p>
    <w:p w14:paraId="0800DA69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23C7A96A" w14:textId="77777777" w:rsidR="00E7435E" w:rsidRPr="00E87CBC" w:rsidRDefault="00395DDD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Establecer las políticas y</w:t>
      </w:r>
      <w:r w:rsidR="00E11D4D" w:rsidRPr="00E87CBC">
        <w:rPr>
          <w:rFonts w:ascii="Century Gothic" w:hAnsi="Century Gothic"/>
          <w:szCs w:val="24"/>
        </w:rPr>
        <w:t xml:space="preserve"> procedimientos </w:t>
      </w:r>
      <w:r w:rsidRPr="00E87CBC">
        <w:rPr>
          <w:rFonts w:ascii="Century Gothic" w:hAnsi="Century Gothic"/>
          <w:szCs w:val="24"/>
        </w:rPr>
        <w:t xml:space="preserve">que orienten la </w:t>
      </w:r>
      <w:r w:rsidR="007E2373" w:rsidRPr="00E87CBC">
        <w:rPr>
          <w:rFonts w:ascii="Century Gothic" w:hAnsi="Century Gothic"/>
          <w:szCs w:val="24"/>
        </w:rPr>
        <w:t>identificación de los recursos disponibles para la inversión y la optimización de sus posibles aplicaciones en función del cumplimiento misional y el logro de los objetivos.</w:t>
      </w:r>
    </w:p>
    <w:p w14:paraId="3DBB14FC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D20DA58" w14:textId="77777777" w:rsidR="009F24A6" w:rsidRPr="00E87CBC" w:rsidRDefault="009F24A6" w:rsidP="009F24A6">
      <w:pPr>
        <w:rPr>
          <w:rFonts w:ascii="Century Gothic" w:hAnsi="Century Gothic"/>
        </w:rPr>
      </w:pPr>
    </w:p>
    <w:p w14:paraId="006530CC" w14:textId="77777777" w:rsidR="006A5385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i/>
          <w:szCs w:val="24"/>
        </w:rPr>
      </w:pPr>
      <w:bookmarkStart w:id="1" w:name="_Toc140256421"/>
      <w:r w:rsidRPr="00E87CBC">
        <w:rPr>
          <w:rFonts w:ascii="Century Gothic" w:hAnsi="Century Gothic"/>
          <w:szCs w:val="24"/>
        </w:rPr>
        <w:t>2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hAnsi="Century Gothic"/>
          <w:color w:val="auto"/>
          <w:szCs w:val="24"/>
        </w:rPr>
        <w:t>BENEFICIO</w:t>
      </w:r>
      <w:bookmarkEnd w:id="1"/>
    </w:p>
    <w:p w14:paraId="450DB8E2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3A7A877A" w14:textId="77777777" w:rsidR="00BE6EE6" w:rsidRPr="00E87CBC" w:rsidRDefault="00C5565C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  <w:r w:rsidRPr="00E87CBC">
        <w:rPr>
          <w:rFonts w:ascii="Century Gothic" w:hAnsi="Century Gothic"/>
          <w:color w:val="auto"/>
          <w:szCs w:val="24"/>
        </w:rPr>
        <w:t xml:space="preserve">Este </w:t>
      </w:r>
      <w:r w:rsidR="007E2373" w:rsidRPr="00E87CBC">
        <w:rPr>
          <w:rFonts w:ascii="Century Gothic" w:hAnsi="Century Gothic"/>
          <w:color w:val="auto"/>
          <w:szCs w:val="24"/>
        </w:rPr>
        <w:t>manual permite orientar los criterios técnicos y de gestión que intervienen en la toma de decisiones frente a la inversión de la Cámara de Comercio de Facatativá.</w:t>
      </w:r>
    </w:p>
    <w:p w14:paraId="09AC1F3A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2B36A79F" w14:textId="77777777" w:rsidR="00BE6EE6" w:rsidRPr="00E87CBC" w:rsidRDefault="00903B4B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2" w:name="_Toc140256422"/>
      <w:r w:rsidRPr="00E87CBC">
        <w:rPr>
          <w:rFonts w:ascii="Century Gothic" w:hAnsi="Century Gothic"/>
          <w:szCs w:val="24"/>
        </w:rPr>
        <w:t>3</w:t>
      </w:r>
      <w:r w:rsidR="002F55A7" w:rsidRPr="00E87CBC">
        <w:rPr>
          <w:rFonts w:ascii="Century Gothic" w:hAnsi="Century Gothic"/>
          <w:szCs w:val="24"/>
        </w:rPr>
        <w:t>. ALCANCE</w:t>
      </w:r>
      <w:bookmarkEnd w:id="2"/>
      <w:r w:rsidR="002F55A7" w:rsidRPr="00E87CBC">
        <w:rPr>
          <w:rFonts w:ascii="Century Gothic" w:hAnsi="Century Gothic"/>
          <w:szCs w:val="24"/>
        </w:rPr>
        <w:t xml:space="preserve"> </w:t>
      </w:r>
    </w:p>
    <w:p w14:paraId="6AC95766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92ADFB0" w14:textId="77777777" w:rsidR="00BE6EE6" w:rsidRPr="00E87CBC" w:rsidRDefault="007E2373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Manual de inversión parte de la identificación de recursos disponibles para inversión y señala criterios técnicos para la selección de alternativas de inversión y la toma de decisiones sobre ello.</w:t>
      </w:r>
    </w:p>
    <w:p w14:paraId="0CD431B1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383031B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3" w:name="_Toc140256423"/>
      <w:r w:rsidRPr="00E87CBC">
        <w:rPr>
          <w:rFonts w:ascii="Century Gothic" w:hAnsi="Century Gothic"/>
          <w:szCs w:val="24"/>
        </w:rPr>
        <w:t>4</w:t>
      </w:r>
      <w:r w:rsidR="002F55A7" w:rsidRPr="00E87CBC">
        <w:rPr>
          <w:rFonts w:ascii="Century Gothic" w:hAnsi="Century Gothic"/>
          <w:szCs w:val="24"/>
        </w:rPr>
        <w:t>. INTRODUCCIÓN</w:t>
      </w:r>
      <w:bookmarkEnd w:id="3"/>
      <w:r w:rsidR="002F55A7" w:rsidRPr="00E87CBC">
        <w:rPr>
          <w:rFonts w:ascii="Century Gothic" w:hAnsi="Century Gothic"/>
          <w:szCs w:val="24"/>
        </w:rPr>
        <w:t xml:space="preserve"> </w:t>
      </w:r>
    </w:p>
    <w:p w14:paraId="141AF84E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69B4857A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Manual de </w:t>
      </w:r>
      <w:r w:rsidR="00E5613C" w:rsidRPr="00E87CBC">
        <w:rPr>
          <w:rFonts w:ascii="Century Gothic" w:hAnsi="Century Gothic"/>
          <w:szCs w:val="24"/>
        </w:rPr>
        <w:t>Inversión</w:t>
      </w:r>
      <w:r w:rsidRPr="00E87CBC">
        <w:rPr>
          <w:rFonts w:ascii="Century Gothic" w:hAnsi="Century Gothic"/>
          <w:szCs w:val="24"/>
        </w:rPr>
        <w:t xml:space="preserve">, es un documento guía, dirigido a los </w:t>
      </w:r>
      <w:r w:rsidR="00E302FE" w:rsidRPr="00E87CBC">
        <w:rPr>
          <w:rFonts w:ascii="Century Gothic" w:hAnsi="Century Gothic"/>
          <w:szCs w:val="24"/>
        </w:rPr>
        <w:t xml:space="preserve">funcionarios </w:t>
      </w:r>
      <w:r w:rsidR="007F2029" w:rsidRPr="00E87CBC">
        <w:rPr>
          <w:rFonts w:ascii="Century Gothic" w:hAnsi="Century Gothic"/>
          <w:szCs w:val="24"/>
        </w:rPr>
        <w:t xml:space="preserve">del </w:t>
      </w:r>
      <w:r w:rsidR="00E5613C" w:rsidRPr="00E87CBC">
        <w:rPr>
          <w:rFonts w:ascii="Century Gothic" w:hAnsi="Century Gothic"/>
          <w:szCs w:val="24"/>
        </w:rPr>
        <w:t>área financiera y la Presidencia,</w:t>
      </w:r>
      <w:r w:rsidRPr="00E87CBC">
        <w:rPr>
          <w:rFonts w:ascii="Century Gothic" w:hAnsi="Century Gothic"/>
          <w:szCs w:val="24"/>
        </w:rPr>
        <w:t xml:space="preserve"> con el fin de</w:t>
      </w:r>
      <w:r w:rsidR="00E5613C" w:rsidRPr="00E87CBC">
        <w:rPr>
          <w:rFonts w:ascii="Century Gothic" w:hAnsi="Century Gothic"/>
          <w:szCs w:val="24"/>
        </w:rPr>
        <w:t xml:space="preserve"> optimizar la administración de los recursos </w:t>
      </w:r>
      <w:r w:rsidR="002A52ED" w:rsidRPr="00E87CBC">
        <w:rPr>
          <w:rFonts w:ascii="Century Gothic" w:hAnsi="Century Gothic"/>
          <w:szCs w:val="24"/>
        </w:rPr>
        <w:t xml:space="preserve">disponibles, fortaleciendo la capacidad financiera de la entidad en </w:t>
      </w:r>
      <w:r w:rsidR="002A52ED" w:rsidRPr="00E87CBC">
        <w:rPr>
          <w:rFonts w:ascii="Century Gothic" w:hAnsi="Century Gothic"/>
          <w:szCs w:val="24"/>
        </w:rPr>
        <w:lastRenderedPageBreak/>
        <w:t>funci</w:t>
      </w:r>
      <w:r w:rsidR="003D65D7" w:rsidRPr="00E87CBC">
        <w:rPr>
          <w:rFonts w:ascii="Century Gothic" w:hAnsi="Century Gothic"/>
          <w:szCs w:val="24"/>
        </w:rPr>
        <w:t xml:space="preserve">ón del mejoramiento de la calidad de los servicios y </w:t>
      </w:r>
      <w:r w:rsidR="007365FD" w:rsidRPr="00E87CBC">
        <w:rPr>
          <w:rFonts w:ascii="Century Gothic" w:hAnsi="Century Gothic"/>
          <w:szCs w:val="24"/>
        </w:rPr>
        <w:t>la eficiencia de la gestión</w:t>
      </w:r>
      <w:r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eastAsia="Calibri" w:hAnsi="Century Gothic"/>
          <w:szCs w:val="24"/>
        </w:rPr>
        <w:t xml:space="preserve"> </w:t>
      </w:r>
    </w:p>
    <w:p w14:paraId="4D717B8D" w14:textId="77777777" w:rsidR="00E27CAF" w:rsidRPr="00E87CBC" w:rsidRDefault="00E27CAF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159DAF16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4" w:name="_Toc140256424"/>
      <w:r w:rsidRPr="00E87CBC">
        <w:rPr>
          <w:rFonts w:ascii="Century Gothic" w:hAnsi="Century Gothic"/>
          <w:szCs w:val="24"/>
        </w:rPr>
        <w:t>5</w:t>
      </w:r>
      <w:r w:rsidR="002F55A7" w:rsidRPr="00E87CBC">
        <w:rPr>
          <w:rFonts w:ascii="Century Gothic" w:hAnsi="Century Gothic"/>
          <w:szCs w:val="24"/>
        </w:rPr>
        <w:t>. DEFINICIONES</w:t>
      </w:r>
      <w:bookmarkEnd w:id="4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5D5290D1" w14:textId="77777777" w:rsidR="00BE6EE6" w:rsidRPr="00E87CBC" w:rsidRDefault="002F55A7" w:rsidP="00111795">
      <w:pPr>
        <w:spacing w:after="0" w:line="276" w:lineRule="auto"/>
        <w:ind w:left="36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 </w:t>
      </w:r>
    </w:p>
    <w:p w14:paraId="438A9A1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INGRESOS. </w:t>
      </w:r>
      <w:r w:rsidRPr="00E87CBC">
        <w:rPr>
          <w:rFonts w:ascii="Century Gothic" w:hAnsi="Century Gothic"/>
          <w:szCs w:val="24"/>
        </w:rPr>
        <w:t>Flujos presentes o futuros de entradas de dineros, en forma de incremento del activo o disminución del pasivo o una combinación de ambos, con vocación de generar incrementos del patrimonio, devengados por la venta de bienes, por la prestación de servicios o por la ejecución de otras actividades realizadas durante un período.</w:t>
      </w:r>
    </w:p>
    <w:p w14:paraId="37470B80" w14:textId="77777777" w:rsidR="00E27CAF" w:rsidRPr="00E87CBC" w:rsidRDefault="00E27CAF" w:rsidP="00111795">
      <w:pPr>
        <w:pStyle w:val="Prrafodelista"/>
        <w:spacing w:after="0" w:line="276" w:lineRule="auto"/>
        <w:rPr>
          <w:rFonts w:ascii="Century Gothic" w:hAnsi="Century Gothic"/>
          <w:b/>
          <w:szCs w:val="24"/>
        </w:rPr>
      </w:pPr>
    </w:p>
    <w:p w14:paraId="3B90F37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GASTOS. </w:t>
      </w:r>
      <w:r w:rsidRPr="00E87CBC">
        <w:rPr>
          <w:rFonts w:ascii="Century Gothic" w:hAnsi="Century Gothic"/>
          <w:szCs w:val="24"/>
        </w:rPr>
        <w:t xml:space="preserve">Flujos de salidas de dineros </w:t>
      </w:r>
      <w:r w:rsidRPr="00E87CBC">
        <w:rPr>
          <w:rFonts w:ascii="Century Gothic" w:hAnsi="Century Gothic"/>
          <w:color w:val="auto"/>
          <w:szCs w:val="24"/>
        </w:rPr>
        <w:t>y registro de amortizaciones, provisiones y depreciaciones, en forma de disminucio</w:t>
      </w:r>
      <w:r w:rsidRPr="00E87CBC">
        <w:rPr>
          <w:rFonts w:ascii="Century Gothic" w:hAnsi="Century Gothic"/>
          <w:szCs w:val="24"/>
        </w:rPr>
        <w:t>nes del activo o incrementos del pasivo o una combinación de ambos, que generan disminuciones al patrimonio, incurridos en las actividades de administración y financiación, realizadas durante un período.</w:t>
      </w:r>
    </w:p>
    <w:p w14:paraId="42D9A88C" w14:textId="77777777" w:rsidR="00E27CAF" w:rsidRPr="00E87CBC" w:rsidRDefault="00E27CAF" w:rsidP="00111795">
      <w:pPr>
        <w:pStyle w:val="Prrafodelista"/>
        <w:spacing w:after="0" w:line="276" w:lineRule="auto"/>
        <w:ind w:left="360"/>
        <w:rPr>
          <w:rFonts w:ascii="Century Gothic" w:hAnsi="Century Gothic"/>
          <w:b/>
          <w:szCs w:val="24"/>
        </w:rPr>
      </w:pPr>
    </w:p>
    <w:p w14:paraId="3323EE28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INVERSION</w:t>
      </w:r>
      <w:r w:rsidR="00531078" w:rsidRPr="00E87CBC">
        <w:rPr>
          <w:rFonts w:ascii="Century Gothic" w:hAnsi="Century Gothic"/>
          <w:b/>
          <w:szCs w:val="24"/>
        </w:rPr>
        <w:t xml:space="preserve">: </w:t>
      </w:r>
      <w:r w:rsidR="00531078" w:rsidRPr="00E87CBC">
        <w:rPr>
          <w:rFonts w:ascii="Century Gothic" w:hAnsi="Century Gothic"/>
          <w:szCs w:val="24"/>
        </w:rPr>
        <w:t>Utilización de recursos con el objeto de obtener un beneficio futuro; beneficios que pueden estar representados en un aumento de los excedentes disponibles o en la adquisición de bienes destinados a la producción de ingresos o la prestación de servicios sin que sean objeto de venta.</w:t>
      </w:r>
    </w:p>
    <w:p w14:paraId="04745292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7D905CF0" w14:textId="77777777" w:rsidR="00D500F5" w:rsidRPr="00E87CBC" w:rsidRDefault="00BC3DBD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EXCEDENTE</w:t>
      </w:r>
      <w:r w:rsidR="00CC310E" w:rsidRPr="00E87CBC">
        <w:rPr>
          <w:rFonts w:ascii="Century Gothic" w:hAnsi="Century Gothic"/>
          <w:b/>
          <w:szCs w:val="24"/>
        </w:rPr>
        <w:t xml:space="preserve"> DE </w:t>
      </w:r>
      <w:r w:rsidR="00D500F5" w:rsidRPr="00E87CBC">
        <w:rPr>
          <w:rFonts w:ascii="Century Gothic" w:hAnsi="Century Gothic"/>
          <w:b/>
          <w:szCs w:val="24"/>
        </w:rPr>
        <w:t>LIQUIDEZ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Dinero en efectivo que excede al necesario para cubrir los gastos de operación y los gastos de capital en un determinado período.</w:t>
      </w:r>
    </w:p>
    <w:p w14:paraId="264A6258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0EAB86E4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DISPONIBLE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Recursos de liquidez inmediata con los que cuenta la entidad para utilizar en fines generales o específicos.</w:t>
      </w:r>
    </w:p>
    <w:p w14:paraId="65627FCA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color w:val="auto"/>
          <w:szCs w:val="24"/>
        </w:rPr>
      </w:pPr>
    </w:p>
    <w:p w14:paraId="0ECD539C" w14:textId="77777777" w:rsidR="00FD62F1" w:rsidRPr="00E87CBC" w:rsidRDefault="00FD62F1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color w:val="auto"/>
          <w:szCs w:val="24"/>
        </w:rPr>
        <w:t xml:space="preserve">PROYECTOS. </w:t>
      </w:r>
      <w:r w:rsidRPr="00E87CBC">
        <w:rPr>
          <w:rFonts w:ascii="Century Gothic" w:hAnsi="Century Gothic"/>
          <w:color w:val="auto"/>
          <w:szCs w:val="24"/>
        </w:rPr>
        <w:t xml:space="preserve">Conjunto actividades, productos o servicios acordes con la planeación de la </w:t>
      </w:r>
      <w:r w:rsidRPr="00E87CBC">
        <w:rPr>
          <w:rFonts w:ascii="Century Gothic" w:hAnsi="Century Gothic"/>
          <w:szCs w:val="24"/>
        </w:rPr>
        <w:t>Cámara que se caracterizan por tener un marco de tiempo para su ejecución, son dinámicas por naturaleza, pueden requerir recursos humanos de diferentes disciplinas, deben tener gastos y tiempos definidos.</w:t>
      </w:r>
    </w:p>
    <w:p w14:paraId="760D385F" w14:textId="77777777" w:rsidR="008D06D4" w:rsidRPr="00E87CBC" w:rsidRDefault="008D06D4" w:rsidP="008D06D4">
      <w:pPr>
        <w:pStyle w:val="Prrafodelista"/>
        <w:rPr>
          <w:rFonts w:ascii="Century Gothic" w:hAnsi="Century Gothic"/>
          <w:b/>
          <w:szCs w:val="24"/>
        </w:rPr>
      </w:pPr>
    </w:p>
    <w:p w14:paraId="74389742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PÚBLICOS: </w:t>
      </w:r>
      <w:r w:rsidRPr="00E87CBC">
        <w:rPr>
          <w:rFonts w:ascii="Century Gothic" w:hAnsi="Century Gothic"/>
          <w:szCs w:val="24"/>
        </w:rPr>
        <w:t>Derechos y tarifas establecidos a favor de la Cámara por el manejo de los Registros Públicos y servicios delegados por el Estado, de sus rendimientos y los que produzcan la venta, renta y fruto de los bienes adquiridos con tales recursos.</w:t>
      </w:r>
    </w:p>
    <w:p w14:paraId="08F25BCA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PRIVADOS: </w:t>
      </w:r>
      <w:r w:rsidRPr="00E87CBC">
        <w:rPr>
          <w:rFonts w:ascii="Century Gothic" w:hAnsi="Century Gothic"/>
          <w:szCs w:val="24"/>
        </w:rPr>
        <w:t>Ingresos generados en las demás actividades, servicios y operaciones de la Cámara.</w:t>
      </w:r>
    </w:p>
    <w:p w14:paraId="54B80BD4" w14:textId="77777777" w:rsidR="008D06D4" w:rsidRPr="00E87CBC" w:rsidRDefault="008D06D4" w:rsidP="008D06D4">
      <w:pPr>
        <w:pStyle w:val="Prrafodelista"/>
        <w:spacing w:after="0" w:line="276" w:lineRule="auto"/>
        <w:ind w:left="360" w:firstLine="0"/>
        <w:rPr>
          <w:rFonts w:ascii="Century Gothic" w:hAnsi="Century Gothic"/>
          <w:b/>
          <w:szCs w:val="24"/>
        </w:rPr>
      </w:pPr>
    </w:p>
    <w:p w14:paraId="35D810D0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5" w:name="_Toc140256425"/>
      <w:r w:rsidRPr="00E87CBC">
        <w:rPr>
          <w:rFonts w:ascii="Century Gothic" w:hAnsi="Century Gothic"/>
          <w:szCs w:val="24"/>
        </w:rPr>
        <w:t>6</w:t>
      </w:r>
      <w:r w:rsidR="002F55A7" w:rsidRPr="00E87CBC">
        <w:rPr>
          <w:rFonts w:ascii="Century Gothic" w:hAnsi="Century Gothic"/>
          <w:szCs w:val="24"/>
        </w:rPr>
        <w:t>. POLÍTICA</w:t>
      </w:r>
      <w:r w:rsidR="001439E7" w:rsidRPr="00E87CBC">
        <w:rPr>
          <w:rFonts w:ascii="Century Gothic" w:hAnsi="Century Gothic"/>
          <w:szCs w:val="24"/>
        </w:rPr>
        <w:t>S</w:t>
      </w:r>
      <w:r w:rsidR="002F55A7" w:rsidRPr="00E87CBC">
        <w:rPr>
          <w:rFonts w:ascii="Century Gothic" w:hAnsi="Century Gothic"/>
          <w:szCs w:val="24"/>
        </w:rPr>
        <w:t xml:space="preserve"> </w:t>
      </w:r>
      <w:r w:rsidR="00BF5D5F" w:rsidRPr="00E87CBC">
        <w:rPr>
          <w:rFonts w:ascii="Century Gothic" w:hAnsi="Century Gothic"/>
          <w:szCs w:val="24"/>
        </w:rPr>
        <w:t>DE INVERSIÓN</w:t>
      </w:r>
      <w:bookmarkEnd w:id="5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3D09DDA5" w14:textId="77777777" w:rsidR="00BE6EE6" w:rsidRPr="00E87CBC" w:rsidRDefault="00BE6EE6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3E88D3DD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Cámara de Comercio de Facatativá </w:t>
      </w:r>
      <w:r w:rsidR="00BF5D5F" w:rsidRPr="00E87CBC">
        <w:rPr>
          <w:rFonts w:ascii="Century Gothic" w:hAnsi="Century Gothic"/>
          <w:szCs w:val="24"/>
        </w:rPr>
        <w:t>tomará decisiones de inversión de recursos</w:t>
      </w:r>
      <w:r w:rsidRPr="00E87CBC">
        <w:rPr>
          <w:rFonts w:ascii="Century Gothic" w:hAnsi="Century Gothic"/>
          <w:szCs w:val="24"/>
        </w:rPr>
        <w:t xml:space="preserve"> con fundamento en las siguientes directrices:</w:t>
      </w:r>
    </w:p>
    <w:p w14:paraId="2234A5B8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szCs w:val="24"/>
        </w:rPr>
      </w:pPr>
    </w:p>
    <w:p w14:paraId="58C654EA" w14:textId="77777777" w:rsidR="001439E7" w:rsidRPr="00E87CBC" w:rsidRDefault="001439E7" w:rsidP="5BC7E1DE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</w:rPr>
      </w:pPr>
      <w:r w:rsidRPr="5BC7E1DE">
        <w:rPr>
          <w:rFonts w:ascii="Century Gothic" w:hAnsi="Century Gothic"/>
        </w:rPr>
        <w:t xml:space="preserve">La Cámara de Comercio de Facatativá atenderá de manera prioritaria los gastos relacionados con los Registros Públicos y demás funciones delegadas por el Estado, así como el fortalecimiento de las actividades </w:t>
      </w:r>
      <w:r w:rsidR="009E38BD" w:rsidRPr="5BC7E1DE">
        <w:rPr>
          <w:rFonts w:ascii="Century Gothic" w:hAnsi="Century Gothic"/>
        </w:rPr>
        <w:t xml:space="preserve">comerciales y empresariales que </w:t>
      </w:r>
      <w:r w:rsidRPr="5BC7E1DE">
        <w:rPr>
          <w:rFonts w:ascii="Century Gothic" w:hAnsi="Century Gothic"/>
        </w:rPr>
        <w:t>promuevan el desarrollo económico en la jurisdicción.</w:t>
      </w:r>
    </w:p>
    <w:p w14:paraId="4BB48360" w14:textId="77777777" w:rsidR="009E38BD" w:rsidRPr="00E87CBC" w:rsidRDefault="009E38BD" w:rsidP="009E38BD">
      <w:pPr>
        <w:pStyle w:val="Prrafodelista"/>
        <w:spacing w:after="0" w:line="240" w:lineRule="auto"/>
        <w:ind w:left="360" w:firstLine="0"/>
        <w:rPr>
          <w:rFonts w:ascii="Century Gothic" w:hAnsi="Century Gothic"/>
          <w:szCs w:val="24"/>
        </w:rPr>
      </w:pPr>
    </w:p>
    <w:p w14:paraId="6720E911" w14:textId="77777777" w:rsidR="009D549D" w:rsidRPr="00E87CBC" w:rsidRDefault="009D549D" w:rsidP="5BC7E1DE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</w:rPr>
      </w:pPr>
      <w:r w:rsidRPr="5BC7E1DE">
        <w:rPr>
          <w:rFonts w:ascii="Century Gothic" w:hAnsi="Century Gothic"/>
        </w:rPr>
        <w:t>Los planes de inversión tienen como fin último el mejoramiento de la calidad en la prestación de los servicios</w:t>
      </w:r>
      <w:r w:rsidR="005A1A14" w:rsidRPr="5BC7E1DE">
        <w:rPr>
          <w:rFonts w:ascii="Century Gothic" w:hAnsi="Century Gothic"/>
        </w:rPr>
        <w:t>, en consecuencia, una vez garantizados los recursos para la financiaci</w:t>
      </w:r>
      <w:r w:rsidR="00495D0A" w:rsidRPr="5BC7E1DE">
        <w:rPr>
          <w:rFonts w:ascii="Century Gothic" w:hAnsi="Century Gothic"/>
        </w:rPr>
        <w:t xml:space="preserve">ón de la normal operación y el desarrollo de los programas, el presupuesto de la entidad se destinará a </w:t>
      </w:r>
      <w:r w:rsidR="00A6059F" w:rsidRPr="5BC7E1DE">
        <w:rPr>
          <w:rFonts w:ascii="Century Gothic" w:hAnsi="Century Gothic"/>
        </w:rPr>
        <w:t>la ampliación de la capacidad física, tecnológica, operativa</w:t>
      </w:r>
      <w:r w:rsidR="00577FD9" w:rsidRPr="5BC7E1DE">
        <w:rPr>
          <w:rFonts w:ascii="Century Gothic" w:hAnsi="Century Gothic"/>
        </w:rPr>
        <w:t xml:space="preserve"> y financiera para el cumplimiento de la misión institucional.</w:t>
      </w:r>
    </w:p>
    <w:p w14:paraId="749A204B" w14:textId="77777777" w:rsidR="009D549D" w:rsidRPr="00E87CBC" w:rsidRDefault="009D549D" w:rsidP="009D549D">
      <w:pPr>
        <w:pStyle w:val="Prrafodelista"/>
        <w:rPr>
          <w:rFonts w:ascii="Century Gothic" w:hAnsi="Century Gothic"/>
          <w:szCs w:val="24"/>
        </w:rPr>
      </w:pPr>
    </w:p>
    <w:p w14:paraId="57D5C565" w14:textId="77777777" w:rsidR="009E38BD" w:rsidRPr="00E87CBC" w:rsidRDefault="009E38BD" w:rsidP="004D62A8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inversiones serán públicas o privadas dependiendo del origen de los recursos empleados para su adquisición.</w:t>
      </w:r>
      <w:r w:rsidR="004D62A8" w:rsidRPr="00E87CBC">
        <w:rPr>
          <w:rFonts w:ascii="Century Gothic" w:hAnsi="Century Gothic"/>
          <w:szCs w:val="24"/>
        </w:rPr>
        <w:t xml:space="preserve"> Todos los rendimientos financieros se identificarán y clasificarán de acuerdo al origen público o privado de la inversión que los genera.</w:t>
      </w:r>
    </w:p>
    <w:p w14:paraId="3F02A01D" w14:textId="77777777" w:rsidR="001439E7" w:rsidRPr="00E87CBC" w:rsidRDefault="001439E7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62C54C01" w14:textId="77777777" w:rsidR="00BE6EE6" w:rsidRPr="00E87CBC" w:rsidRDefault="007C7857" w:rsidP="001439E7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6" w:name="_Toc140256426"/>
      <w:r w:rsidRPr="00E87CBC">
        <w:rPr>
          <w:rFonts w:ascii="Century Gothic" w:hAnsi="Century Gothic"/>
          <w:szCs w:val="24"/>
        </w:rPr>
        <w:t>7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="001439E7" w:rsidRPr="00E87CBC">
        <w:rPr>
          <w:rFonts w:ascii="Century Gothic" w:hAnsi="Century Gothic"/>
          <w:szCs w:val="24"/>
        </w:rPr>
        <w:t>MARCO LEGAL</w:t>
      </w:r>
      <w:bookmarkEnd w:id="6"/>
      <w:r w:rsidR="002F55A7" w:rsidRPr="00E87CBC">
        <w:rPr>
          <w:rFonts w:ascii="Century Gothic" w:hAnsi="Century Gothic"/>
          <w:szCs w:val="24"/>
        </w:rPr>
        <w:t xml:space="preserve"> </w:t>
      </w:r>
    </w:p>
    <w:p w14:paraId="4601A98A" w14:textId="77777777" w:rsidR="001439E7" w:rsidRPr="00E87CBC" w:rsidRDefault="001439E7" w:rsidP="001439E7">
      <w:pPr>
        <w:tabs>
          <w:tab w:val="left" w:pos="284"/>
        </w:tabs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8D1F18B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szCs w:val="24"/>
        </w:rPr>
        <w:t xml:space="preserve">La Cámara de Comercio de Facatativá es una </w:t>
      </w:r>
      <w:r w:rsidRPr="00E87CBC">
        <w:rPr>
          <w:rFonts w:ascii="Century Gothic" w:hAnsi="Century Gothic"/>
          <w:bCs/>
        </w:rPr>
        <w:t>persona jurídica de derecho privado, de carácter corporativo, gremial y sin ánimo de lucro.</w:t>
      </w:r>
    </w:p>
    <w:p w14:paraId="392C363E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bCs/>
        </w:rPr>
      </w:pPr>
    </w:p>
    <w:p w14:paraId="7029ACB5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Los recursos del presupuesto se destinarán al cumplimiento de las funciones establecidas en el Código de Comercio,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e="preserve">2015 o las normas que los adicionen, modifiquen o sustituyan, así como </w:t>
      </w:r>
      <w:r w:rsidRPr="00E87CBC">
        <w:rPr>
          <w:rFonts w:ascii="Century Gothic" w:hAnsi="Century Gothic"/>
          <w:bCs/>
          <w:color w:val="auto"/>
        </w:rPr>
        <w:lastRenderedPageBreak/>
        <w:t xml:space="preserve">las demás normas que asignen responsabilidades a la Cámara de Comercio en virtud de las </w:t>
      </w:r>
      <w:r w:rsidRPr="00E87CBC">
        <w:rPr>
          <w:rFonts w:ascii="Century Gothic" w:hAnsi="Century Gothic"/>
          <w:bCs/>
        </w:rPr>
        <w:t>políticas de desarrollo comercial y empresarial aplicables en la jurisdicción</w:t>
      </w:r>
      <w:r w:rsidR="00861E8E" w:rsidRPr="00E87CBC">
        <w:rPr>
          <w:rFonts w:ascii="Century Gothic" w:hAnsi="Century Gothic"/>
          <w:bCs/>
        </w:rPr>
        <w:t>.</w:t>
      </w:r>
    </w:p>
    <w:p w14:paraId="09D380D6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12024692" w14:textId="1C6435FB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Los recursos públicos recaudados en virtud de las funciones registrales y las demás delegadas por el Estado, se destinan al cumplimiento de las mismas y son objeto de control y vigilancia por parte de la Contraloría General de la República y la Superintendencia de </w:t>
      </w:r>
      <w:r w:rsidR="004C5B13" w:rsidRPr="00DC1CCE">
        <w:rPr>
          <w:rFonts w:ascii="Century Gothic" w:hAnsi="Century Gothic"/>
          <w:bCs/>
        </w:rPr>
        <w:t>Sociedades</w:t>
      </w:r>
    </w:p>
    <w:p w14:paraId="7C5A04AF" w14:textId="77777777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2472AFE0" w14:textId="6E60EDA8" w:rsidR="0013314B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La administración de los recursos públicos de la Cámara de </w:t>
      </w:r>
      <w:r w:rsidR="008E098C" w:rsidRPr="00E87CBC">
        <w:rPr>
          <w:rFonts w:ascii="Century Gothic" w:hAnsi="Century Gothic"/>
          <w:bCs/>
        </w:rPr>
        <w:t>Comercio</w:t>
      </w:r>
      <w:r w:rsidRPr="00E87CBC">
        <w:rPr>
          <w:rFonts w:ascii="Century Gothic" w:hAnsi="Century Gothic"/>
          <w:bCs/>
        </w:rPr>
        <w:t xml:space="preserve"> </w:t>
      </w:r>
      <w:r w:rsidR="005224F0" w:rsidRPr="00E87CBC">
        <w:rPr>
          <w:rFonts w:ascii="Century Gothic" w:hAnsi="Century Gothic"/>
          <w:bCs/>
        </w:rPr>
        <w:t xml:space="preserve">se rige por lo dispuesto en el Decreto 4698 de 2005, </w:t>
      </w:r>
      <w:r w:rsidR="008902F2" w:rsidRPr="00DC1CCE">
        <w:rPr>
          <w:rFonts w:ascii="Century Gothic" w:hAnsi="Century Gothic"/>
          <w:bCs/>
        </w:rPr>
        <w:t>compilado en el Decreto 1074 de 2015</w:t>
      </w:r>
      <w:r w:rsidR="008902F2">
        <w:rPr>
          <w:rFonts w:ascii="Century Gothic" w:hAnsi="Century Gothic"/>
          <w:bCs/>
        </w:rPr>
        <w:t xml:space="preserve">, </w:t>
      </w:r>
      <w:r w:rsidR="005224F0" w:rsidRPr="00E87CBC">
        <w:rPr>
          <w:rFonts w:ascii="Century Gothic" w:hAnsi="Century Gothic"/>
          <w:bCs/>
        </w:rPr>
        <w:t>dando prioridad a los gastos requeridos por la actividad registral y sometiendo los excedentes a las decisiones de la Junta Directiva</w:t>
      </w:r>
      <w:r w:rsidR="0013314B" w:rsidRPr="00E87CBC">
        <w:rPr>
          <w:rFonts w:ascii="Century Gothic" w:hAnsi="Century Gothic"/>
          <w:bCs/>
        </w:rPr>
        <w:t xml:space="preserve"> </w:t>
      </w:r>
      <w:r w:rsidR="005224F0" w:rsidRPr="00E87CBC">
        <w:rPr>
          <w:rFonts w:ascii="Century Gothic" w:hAnsi="Century Gothic"/>
          <w:bCs/>
        </w:rPr>
        <w:t>que podrá</w:t>
      </w:r>
      <w:r w:rsidR="00D64B84" w:rsidRPr="00E87CBC">
        <w:rPr>
          <w:rFonts w:ascii="Century Gothic" w:hAnsi="Century Gothic"/>
          <w:bCs/>
        </w:rPr>
        <w:t>n</w:t>
      </w:r>
      <w:r w:rsidR="005224F0" w:rsidRPr="00E87CBC">
        <w:rPr>
          <w:rFonts w:ascii="Century Gothic" w:hAnsi="Century Gothic"/>
          <w:bCs/>
        </w:rPr>
        <w:t xml:space="preserve"> destinarse </w:t>
      </w:r>
      <w:r w:rsidR="00D64B84" w:rsidRPr="00E87CBC">
        <w:rPr>
          <w:rFonts w:ascii="Century Gothic" w:hAnsi="Century Gothic"/>
          <w:bCs/>
        </w:rPr>
        <w:t>para atender gastos corrientes o de inversión.</w:t>
      </w:r>
    </w:p>
    <w:p w14:paraId="5ED1F96B" w14:textId="77777777" w:rsidR="001633CC" w:rsidRPr="00E87CBC" w:rsidRDefault="001633CC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385A5DEE" w14:textId="77777777" w:rsidR="00196820" w:rsidRPr="00E87CBC" w:rsidRDefault="008D06D4" w:rsidP="003C315A">
      <w:pPr>
        <w:spacing w:after="0"/>
        <w:rPr>
          <w:rStyle w:val="Ttulo2Car"/>
          <w:rFonts w:ascii="Century Gothic" w:hAnsi="Century Gothic"/>
          <w:color w:val="auto"/>
          <w:szCs w:val="24"/>
        </w:rPr>
      </w:pPr>
      <w:bookmarkStart w:id="7" w:name="_Toc140256427"/>
      <w:r w:rsidRPr="00E87CBC">
        <w:rPr>
          <w:rStyle w:val="Ttulo2Car"/>
          <w:rFonts w:ascii="Century Gothic" w:hAnsi="Century Gothic"/>
          <w:color w:val="auto"/>
          <w:szCs w:val="24"/>
        </w:rPr>
        <w:t>8</w:t>
      </w:r>
      <w:r w:rsidR="00196820" w:rsidRPr="00E87CBC">
        <w:rPr>
          <w:rStyle w:val="Ttulo2Car"/>
          <w:rFonts w:ascii="Century Gothic" w:hAnsi="Century Gothic"/>
          <w:color w:val="auto"/>
          <w:szCs w:val="24"/>
        </w:rPr>
        <w:t>. RUBROS DE</w:t>
      </w:r>
      <w:r w:rsidRPr="00E87CBC">
        <w:rPr>
          <w:rStyle w:val="Ttulo2Car"/>
          <w:rFonts w:ascii="Century Gothic" w:hAnsi="Century Gothic"/>
          <w:color w:val="auto"/>
          <w:szCs w:val="24"/>
        </w:rPr>
        <w:t xml:space="preserve"> INVERSIÓN</w:t>
      </w:r>
      <w:bookmarkEnd w:id="7"/>
      <w:r w:rsidR="00196820" w:rsidRPr="00E87CBC">
        <w:rPr>
          <w:rStyle w:val="Ttulo2Car"/>
          <w:rFonts w:ascii="Century Gothic" w:hAnsi="Century Gothic"/>
          <w:color w:val="auto"/>
          <w:szCs w:val="24"/>
        </w:rPr>
        <w:t xml:space="preserve"> </w:t>
      </w:r>
    </w:p>
    <w:p w14:paraId="7DD2480D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07231DB3" w14:textId="38147CB9" w:rsidR="00196820" w:rsidRPr="00E87CBC" w:rsidRDefault="00196820" w:rsidP="00490619">
      <w:pPr>
        <w:spacing w:after="0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Las cuentas </w:t>
      </w:r>
      <w:r w:rsidR="00490619" w:rsidRPr="00E87CBC">
        <w:rPr>
          <w:rFonts w:ascii="Century Gothic" w:hAnsi="Century Gothic"/>
          <w:szCs w:val="24"/>
        </w:rPr>
        <w:t xml:space="preserve">presupuestales </w:t>
      </w:r>
      <w:r w:rsidR="0052785A" w:rsidRPr="00E87CBC">
        <w:rPr>
          <w:rFonts w:ascii="Century Gothic" w:hAnsi="Century Gothic"/>
          <w:szCs w:val="24"/>
        </w:rPr>
        <w:t xml:space="preserve">para el registro de las </w:t>
      </w:r>
      <w:r w:rsidR="008E098C" w:rsidRPr="00E87CBC">
        <w:rPr>
          <w:rFonts w:ascii="Century Gothic" w:hAnsi="Century Gothic"/>
          <w:szCs w:val="24"/>
        </w:rPr>
        <w:t>inversiones</w:t>
      </w:r>
      <w:r w:rsidRPr="00E87CBC">
        <w:rPr>
          <w:rFonts w:ascii="Century Gothic" w:hAnsi="Century Gothic"/>
          <w:szCs w:val="24"/>
        </w:rPr>
        <w:t xml:space="preserve"> se definen y detallan así:</w:t>
      </w:r>
    </w:p>
    <w:p w14:paraId="693722FB" w14:textId="77777777" w:rsidR="003C315A" w:rsidRPr="00E87CBC" w:rsidRDefault="003C315A" w:rsidP="00196820">
      <w:pPr>
        <w:spacing w:after="0"/>
        <w:rPr>
          <w:rFonts w:ascii="Century Gothic" w:hAnsi="Century Gothic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4687"/>
        <w:gridCol w:w="1417"/>
        <w:gridCol w:w="1560"/>
      </w:tblGrid>
      <w:tr w:rsidR="00E2314D" w:rsidRPr="00E87CBC" w14:paraId="317FB0F5" w14:textId="77777777" w:rsidTr="00FF3D7B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7EA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CUENTA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81BC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CONCEPTO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5D8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VALOR</w:t>
            </w:r>
          </w:p>
        </w:tc>
      </w:tr>
      <w:tr w:rsidR="00E2314D" w:rsidRPr="00E87CBC" w14:paraId="015E668D" w14:textId="77777777" w:rsidTr="00FF3D7B">
        <w:trPr>
          <w:trHeight w:val="255"/>
          <w:tblHeader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7768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806F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03F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PUBLICOS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645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PRIVADOS</w:t>
            </w:r>
          </w:p>
        </w:tc>
      </w:tr>
      <w:tr w:rsidR="00E2314D" w:rsidRPr="00E87CBC" w14:paraId="5111E886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EC4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89E1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652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DDA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58621C6E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4A7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FB96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Inmuebles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337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A22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7D3B6213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9F3F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145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EDD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C4A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DC1CCE" w14:paraId="157CA4D1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6205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1130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420B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>Bienes TIC – Hardware y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CE0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EC9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E2314D" w:rsidRPr="00E87CBC" w14:paraId="0D285A44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99B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1140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559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Otras</w:t>
            </w:r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 xml:space="preserve"> </w:t>
            </w: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14E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36C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6159CA" w:rsidRPr="00E87CBC" w14:paraId="04A008BC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FA46" w14:textId="5C4F51A1" w:rsidR="006159CA" w:rsidRPr="00E87CBC" w:rsidRDefault="006159C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2105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4957" w14:textId="2297A072" w:rsidR="006159CA" w:rsidRPr="00E87CBC" w:rsidRDefault="006159C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Obligaciones financieras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664" w14:textId="77777777" w:rsidR="006159CA" w:rsidRPr="00E87CBC" w:rsidRDefault="006159C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E40" w14:textId="77777777" w:rsidR="006159CA" w:rsidRPr="00E87CBC" w:rsidRDefault="006159C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C41829" w:rsidRPr="00E87CBC" w14:paraId="0F0F4A2E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19A5" w14:textId="49925BD8" w:rsidR="00C41829" w:rsidRPr="00E87CBC" w:rsidRDefault="00C41829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>
              <w:rPr>
                <w:rFonts w:ascii="Century Gothic" w:hAnsi="Century Gothic"/>
                <w:color w:val="auto"/>
                <w:szCs w:val="24"/>
              </w:rPr>
              <w:t>5305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08F89" w14:textId="311CD1DF" w:rsidR="00C41829" w:rsidRPr="00E87CBC" w:rsidRDefault="00C93453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>
              <w:rPr>
                <w:rFonts w:ascii="Century Gothic" w:hAnsi="Century Gothic"/>
                <w:color w:val="auto"/>
                <w:szCs w:val="24"/>
              </w:rPr>
              <w:t>Gastos Financieros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DEA" w14:textId="77777777" w:rsidR="00C41829" w:rsidRPr="00E87CBC" w:rsidRDefault="00C41829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4C2" w14:textId="77777777" w:rsidR="00C41829" w:rsidRPr="00E87CBC" w:rsidRDefault="00C41829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E2314D" w:rsidRPr="00E87CBC" w14:paraId="6FC7BD64" w14:textId="77777777" w:rsidTr="00FF3D7B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  <w:hideMark/>
          </w:tcPr>
          <w:p w14:paraId="601BA8FC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r w:rsidRPr="00E87CBC">
              <w:rPr>
                <w:rFonts w:ascii="Century Gothic" w:hAnsi="Century Gothic"/>
                <w:b/>
                <w:bCs/>
                <w:color w:val="auto"/>
              </w:rPr>
              <w:t>SUBTOTAL INVERSIONES</w:t>
            </w:r>
          </w:p>
        </w:tc>
        <w:tc>
          <w:tcPr>
            <w:tcW w:w="1417" w:type="dxa"/>
            <w:shd w:val="clear" w:color="000000" w:fill="A6A6A6"/>
          </w:tcPr>
          <w:p w14:paraId="202EB3ED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  <w:tc>
          <w:tcPr>
            <w:tcW w:w="1560" w:type="dxa"/>
            <w:shd w:val="clear" w:color="000000" w:fill="A6A6A6"/>
            <w:noWrap/>
            <w:hideMark/>
          </w:tcPr>
          <w:p w14:paraId="3AB93F8C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  <w:tr w:rsidR="00E2314D" w:rsidRPr="00E87CBC" w14:paraId="53CE393F" w14:textId="77777777" w:rsidTr="00FF3D7B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</w:tcPr>
          <w:p w14:paraId="5CB995DE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r w:rsidRPr="00E87CBC">
              <w:rPr>
                <w:rFonts w:ascii="Century Gothic" w:hAnsi="Century Gothic"/>
                <w:b/>
                <w:bCs/>
                <w:color w:val="auto"/>
              </w:rPr>
              <w:t>TOTAL PLAN DE INVERSIONES</w:t>
            </w:r>
          </w:p>
        </w:tc>
        <w:tc>
          <w:tcPr>
            <w:tcW w:w="2977" w:type="dxa"/>
            <w:gridSpan w:val="2"/>
            <w:shd w:val="clear" w:color="000000" w:fill="A6A6A6"/>
          </w:tcPr>
          <w:p w14:paraId="56B75F42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</w:tbl>
    <w:p w14:paraId="297710A9" w14:textId="77777777" w:rsidR="0052785A" w:rsidRPr="00E87CBC" w:rsidRDefault="0052785A" w:rsidP="00196820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19065D0F" w14:textId="77777777" w:rsidR="00196820" w:rsidRPr="00E87CBC" w:rsidRDefault="00196820" w:rsidP="00196820">
      <w:pPr>
        <w:spacing w:after="0"/>
        <w:rPr>
          <w:rFonts w:ascii="Century Gothic" w:hAnsi="Century Gothic"/>
          <w:b/>
          <w:szCs w:val="24"/>
        </w:rPr>
      </w:pPr>
      <w:bookmarkStart w:id="8" w:name="_Toc466550567"/>
      <w:bookmarkStart w:id="9" w:name="_Toc140256428"/>
      <w:bookmarkStart w:id="10" w:name="_Toc466550568"/>
      <w:r w:rsidRPr="00E87CBC">
        <w:rPr>
          <w:rStyle w:val="Ttulo2Car"/>
          <w:rFonts w:ascii="Century Gothic" w:hAnsi="Century Gothic"/>
          <w:color w:val="auto"/>
          <w:szCs w:val="24"/>
        </w:rPr>
        <w:t>9. PLAN DE INVERSIÓN</w:t>
      </w:r>
      <w:bookmarkEnd w:id="8"/>
      <w:bookmarkEnd w:id="9"/>
      <w:r w:rsidRPr="00E87CBC">
        <w:rPr>
          <w:rFonts w:ascii="Century Gothic" w:hAnsi="Century Gothic"/>
          <w:b/>
          <w:szCs w:val="24"/>
        </w:rPr>
        <w:t xml:space="preserve">. </w:t>
      </w:r>
    </w:p>
    <w:p w14:paraId="242CC452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64743648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Plan de Inversión es la proyección y registro de operaciones de adquisición de activos bienes inmuebles, muebles o de tecnología u otros, en coherencia con el Plan Estratégico y en pro del mejoramiento de los servicios.</w:t>
      </w:r>
    </w:p>
    <w:p w14:paraId="595366B5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F9825F0" w14:textId="77777777" w:rsidR="00196820" w:rsidRPr="00E87CBC" w:rsidRDefault="0019682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 adquisición de activos, ya se trate de bienes inmuebles, bienes muebles, tecnología u otros, se proyectará como parte del presupuesto financiados con excedentes de vigencias anteriores libres de compromiso o con recursos de la vigencia siempre y cuando se garantice el normal funcionamiento y operación de los programas; en todo caso se identificará el origen de dichos recursos y el bien adoptará la misma naturaleza.</w:t>
      </w:r>
    </w:p>
    <w:p w14:paraId="3AF44F84" w14:textId="77777777" w:rsidR="00682786" w:rsidRPr="00E87CBC" w:rsidRDefault="00682786" w:rsidP="004B3A07">
      <w:pPr>
        <w:spacing w:after="0" w:line="240" w:lineRule="auto"/>
        <w:rPr>
          <w:rFonts w:ascii="Century Gothic" w:hAnsi="Century Gothic"/>
          <w:szCs w:val="24"/>
        </w:rPr>
      </w:pPr>
    </w:p>
    <w:bookmarkEnd w:id="10"/>
    <w:p w14:paraId="499B4103" w14:textId="77777777" w:rsidR="008D06D4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Cuando las inversiones deban realizarse durante varios períodos, se constituirán las reservas en los presupuestos anuales que corresponda.</w:t>
      </w:r>
    </w:p>
    <w:p w14:paraId="6419E38F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503BCC20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Los excedentes de liquidez </w:t>
      </w:r>
      <w:r w:rsidR="00BE3124" w:rsidRPr="00E87CBC">
        <w:rPr>
          <w:rFonts w:ascii="Century Gothic" w:hAnsi="Century Gothic"/>
          <w:szCs w:val="24"/>
        </w:rPr>
        <w:t>serán colocados en inversiones temporales manteniendo la separación de las fuentes de recurso y generando rendimientos financieros como ingresos no operacionales que mantendrán la misma naturaleza del recurso que los originan.</w:t>
      </w:r>
    </w:p>
    <w:p w14:paraId="2112C609" w14:textId="77777777" w:rsidR="000D29DB" w:rsidRPr="00E87CBC" w:rsidRDefault="000D29DB" w:rsidP="004B3A07">
      <w:pPr>
        <w:spacing w:after="160" w:line="240" w:lineRule="auto"/>
        <w:ind w:left="0" w:firstLine="0"/>
        <w:jc w:val="left"/>
        <w:rPr>
          <w:rFonts w:ascii="Century Gothic" w:hAnsi="Century Gothic"/>
          <w:szCs w:val="24"/>
        </w:rPr>
      </w:pPr>
    </w:p>
    <w:p w14:paraId="68441C03" w14:textId="77777777" w:rsidR="00514FB0" w:rsidRPr="00E87CBC" w:rsidRDefault="00514FB0" w:rsidP="00514FB0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1" w:name="_Toc140256429"/>
      <w:r w:rsidRPr="00E87CBC">
        <w:rPr>
          <w:rFonts w:ascii="Century Gothic" w:hAnsi="Century Gothic"/>
          <w:szCs w:val="24"/>
        </w:rPr>
        <w:t>1</w:t>
      </w:r>
      <w:r w:rsidR="001909B2" w:rsidRPr="00E87CBC">
        <w:rPr>
          <w:rFonts w:ascii="Century Gothic" w:hAnsi="Century Gothic"/>
          <w:szCs w:val="24"/>
        </w:rPr>
        <w:t>0</w:t>
      </w:r>
      <w:r w:rsidRPr="00E87CBC">
        <w:rPr>
          <w:rFonts w:ascii="Century Gothic" w:hAnsi="Century Gothic"/>
          <w:szCs w:val="24"/>
        </w:rPr>
        <w:t xml:space="preserve">. </w:t>
      </w:r>
      <w:r w:rsidR="005F3327" w:rsidRPr="00E87CBC">
        <w:rPr>
          <w:rFonts w:ascii="Century Gothic" w:hAnsi="Century Gothic"/>
          <w:szCs w:val="24"/>
        </w:rPr>
        <w:t>METODOLOGÍA</w:t>
      </w:r>
      <w:bookmarkEnd w:id="11"/>
      <w:r w:rsidR="005F332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 xml:space="preserve"> </w:t>
      </w:r>
    </w:p>
    <w:p w14:paraId="17F389A4" w14:textId="77777777" w:rsidR="00514FB0" w:rsidRPr="00E87CBC" w:rsidRDefault="00514FB0" w:rsidP="00514FB0">
      <w:pPr>
        <w:spacing w:after="0"/>
        <w:rPr>
          <w:rFonts w:ascii="Century Gothic" w:hAnsi="Century Gothic"/>
          <w:szCs w:val="24"/>
        </w:rPr>
      </w:pPr>
    </w:p>
    <w:p w14:paraId="74F4174A" w14:textId="77777777" w:rsidR="00A3525D" w:rsidRPr="00E87CBC" w:rsidRDefault="00BE312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elaboración del Presupuesto Anual </w:t>
      </w:r>
      <w:r w:rsidR="00053ECB" w:rsidRPr="00E87CBC">
        <w:rPr>
          <w:rFonts w:ascii="Century Gothic" w:hAnsi="Century Gothic"/>
          <w:szCs w:val="24"/>
        </w:rPr>
        <w:t>parte de</w:t>
      </w:r>
      <w:r w:rsidRPr="00E87CBC">
        <w:rPr>
          <w:rFonts w:ascii="Century Gothic" w:hAnsi="Century Gothic"/>
          <w:szCs w:val="24"/>
        </w:rPr>
        <w:t xml:space="preserve"> la proyección de ingresos </w:t>
      </w:r>
      <w:r w:rsidR="00053ECB" w:rsidRPr="00E87CBC">
        <w:rPr>
          <w:rFonts w:ascii="Century Gothic" w:hAnsi="Century Gothic"/>
          <w:szCs w:val="24"/>
        </w:rPr>
        <w:t xml:space="preserve">operacionales y no operacionales provenientes de fuentes </w:t>
      </w:r>
      <w:r w:rsidRPr="00E87CBC">
        <w:rPr>
          <w:rFonts w:ascii="Century Gothic" w:hAnsi="Century Gothic"/>
          <w:szCs w:val="24"/>
        </w:rPr>
        <w:t>públic</w:t>
      </w:r>
      <w:r w:rsidR="00053ECB" w:rsidRPr="00E87CBC">
        <w:rPr>
          <w:rFonts w:ascii="Century Gothic" w:hAnsi="Century Gothic"/>
          <w:szCs w:val="24"/>
        </w:rPr>
        <w:t>as y privadas; así mismo, se apropian los recursos para garantizar los gastos de personal, las obligaciones legales y tributarias</w:t>
      </w:r>
      <w:r w:rsidR="00A3525D" w:rsidRPr="00E87CBC">
        <w:rPr>
          <w:rFonts w:ascii="Century Gothic" w:hAnsi="Century Gothic"/>
          <w:szCs w:val="24"/>
        </w:rPr>
        <w:t xml:space="preserve"> y los gastos requeridos para el normal funcionamiento de la entidad.</w:t>
      </w:r>
    </w:p>
    <w:p w14:paraId="532E735C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80C6577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recursos del presupuesto garantizarán todos los gastos requeridos para la prestación de los servicios registrales y los remanentes podrán ser destinados a gastos corrientes o de inversión. Para ello, se establecerán los correspondientes planes de trabajo y planes de inversión.</w:t>
      </w:r>
    </w:p>
    <w:p w14:paraId="4E9D664A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0769F97B" w14:textId="77777777" w:rsidR="00BE312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planes de trabajo garantizarán el cumplimiento anual de las metas del Plan Estratégico y para ello las áreas detallarán los recursos requeridos para la ejecución de cada programa a su cargo, aplicando la codificación y definición cuentas auxiliares de los rubros, así como la fuente de los recursos para su financiación.</w:t>
      </w:r>
      <w:r w:rsidR="00053ECB" w:rsidRPr="00E87CBC">
        <w:rPr>
          <w:rFonts w:ascii="Century Gothic" w:hAnsi="Century Gothic"/>
          <w:szCs w:val="24"/>
        </w:rPr>
        <w:t xml:space="preserve"> </w:t>
      </w:r>
    </w:p>
    <w:p w14:paraId="079499EF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AE22CC7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Una vez financiados los gastos de operación de la entidad y los programas del Plan Anual de Trabajo, los remanentes se destinan al Plan de Inversión de conformidad con las prioridades señaladas por el Plan Estratégico y las directrices de la Presidencia.</w:t>
      </w:r>
    </w:p>
    <w:p w14:paraId="01DCCF06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7B209848" w14:textId="6888B2CB" w:rsidR="001909B2" w:rsidRPr="00E87CBC" w:rsidRDefault="00D83484" w:rsidP="005476C1">
      <w:pPr>
        <w:spacing w:after="0" w:line="240" w:lineRule="auto"/>
        <w:ind w:left="0" w:firstLine="0"/>
        <w:rPr>
          <w:rFonts w:ascii="Century Gothic" w:hAnsi="Century Gothic"/>
          <w:i/>
          <w:szCs w:val="24"/>
        </w:rPr>
      </w:pPr>
      <w:r w:rsidRPr="00E87CBC">
        <w:rPr>
          <w:rFonts w:ascii="Century Gothic" w:hAnsi="Century Gothic"/>
          <w:szCs w:val="24"/>
        </w:rPr>
        <w:t>Será fuente de financiación del Plan de Inversiones los excedentes de vigencias anteriores libres de compromiso</w:t>
      </w:r>
      <w:r w:rsidR="00E136D1">
        <w:rPr>
          <w:rFonts w:ascii="Century Gothic" w:hAnsi="Century Gothic"/>
          <w:szCs w:val="24"/>
        </w:rPr>
        <w:t xml:space="preserve">, </w:t>
      </w:r>
      <w:r w:rsidR="00E136D1" w:rsidRPr="00DC1CCE">
        <w:rPr>
          <w:rFonts w:ascii="Century Gothic" w:hAnsi="Century Gothic"/>
          <w:szCs w:val="24"/>
        </w:rPr>
        <w:t xml:space="preserve">los excedentes de liquidez, </w:t>
      </w:r>
      <w:r w:rsidR="000A0375" w:rsidRPr="00DC1CCE">
        <w:rPr>
          <w:rFonts w:ascii="Century Gothic" w:hAnsi="Century Gothic"/>
          <w:szCs w:val="24"/>
        </w:rPr>
        <w:t>apalancamiento</w:t>
      </w:r>
      <w:r w:rsidR="00E5741F" w:rsidRPr="00DC1CCE">
        <w:rPr>
          <w:rFonts w:ascii="Century Gothic" w:hAnsi="Century Gothic"/>
          <w:szCs w:val="24"/>
        </w:rPr>
        <w:t xml:space="preserve"> externo con entidades financieras</w:t>
      </w:r>
      <w:r w:rsidR="000A0375" w:rsidRPr="00DC1CCE">
        <w:rPr>
          <w:rFonts w:ascii="Century Gothic" w:hAnsi="Century Gothic"/>
          <w:szCs w:val="24"/>
        </w:rPr>
        <w:t xml:space="preserve">, </w:t>
      </w:r>
      <w:r w:rsidR="00F2024F" w:rsidRPr="00DC1CCE">
        <w:rPr>
          <w:rFonts w:ascii="Century Gothic" w:hAnsi="Century Gothic"/>
          <w:szCs w:val="24"/>
        </w:rPr>
        <w:t xml:space="preserve">venta de propiedad planta y equipo u otras fuentes que por su naturaleza y análisis </w:t>
      </w:r>
      <w:r w:rsidR="00840FD4" w:rsidRPr="00DC1CCE">
        <w:rPr>
          <w:rFonts w:ascii="Century Gothic" w:hAnsi="Century Gothic"/>
          <w:szCs w:val="24"/>
        </w:rPr>
        <w:t xml:space="preserve">de la </w:t>
      </w:r>
      <w:r w:rsidR="008C52F0" w:rsidRPr="00DC1CCE">
        <w:rPr>
          <w:rFonts w:ascii="Century Gothic" w:hAnsi="Century Gothic"/>
          <w:szCs w:val="24"/>
        </w:rPr>
        <w:t xml:space="preserve">Dirección Administrativa </w:t>
      </w:r>
      <w:r w:rsidR="00E5741F" w:rsidRPr="00DC1CCE">
        <w:rPr>
          <w:rFonts w:ascii="Century Gothic" w:hAnsi="Century Gothic"/>
          <w:szCs w:val="24"/>
        </w:rPr>
        <w:t xml:space="preserve">y </w:t>
      </w:r>
      <w:r w:rsidR="008C52F0" w:rsidRPr="00DC1CCE">
        <w:rPr>
          <w:rFonts w:ascii="Century Gothic" w:hAnsi="Century Gothic"/>
          <w:szCs w:val="24"/>
        </w:rPr>
        <w:t>Financiera</w:t>
      </w:r>
      <w:r w:rsidR="00840FD4" w:rsidRPr="00DC1CCE">
        <w:rPr>
          <w:rFonts w:ascii="Century Gothic" w:hAnsi="Century Gothic"/>
          <w:szCs w:val="24"/>
        </w:rPr>
        <w:t xml:space="preserve"> puedan incorporarse como fuente de financiación del plan de inversión.</w:t>
      </w:r>
    </w:p>
    <w:p w14:paraId="1E3CE42C" w14:textId="77777777" w:rsidR="001909B2" w:rsidRPr="00E87CBC" w:rsidRDefault="001909B2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Con el cálculo de los recursos disponibles para inversión y atendiendo las directrices de la Presidencia, se someterá a consideración de la Junta Directiva el presupuesto de inversión, el cual considerará los conceptos de inversión conforme a los proyectos que se vayan a desarrollar durante la vigencia, (bienes inmuebles, bienes muebles, tecnología u otros).</w:t>
      </w:r>
    </w:p>
    <w:p w14:paraId="210A37AA" w14:textId="77777777" w:rsidR="00053ECB" w:rsidRPr="00E87CBC" w:rsidRDefault="00053ECB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00639C5" w14:textId="77777777" w:rsidR="00D20804" w:rsidRPr="00E87CBC" w:rsidRDefault="00D2080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Tratándose de rendimientos financieros, se proyectarán los flujos de caja para cada tipo de recurso y se determinarán las disponibilidades para la realización de inversiones de corto plazo,</w:t>
      </w:r>
      <w:r w:rsidR="001909B2" w:rsidRPr="00E87CBC">
        <w:rPr>
          <w:rFonts w:ascii="Century Gothic" w:hAnsi="Century Gothic"/>
          <w:szCs w:val="24"/>
        </w:rPr>
        <w:t xml:space="preserve"> evaluando las alternativas del mercado, para lo cual se considerarán las condiciones de rentabilidad y riesgo ofrecidas y los tiempos disponibles para la inversión</w:t>
      </w:r>
      <w:r w:rsidRPr="00E87CBC">
        <w:rPr>
          <w:rFonts w:ascii="Century Gothic" w:hAnsi="Century Gothic"/>
          <w:szCs w:val="24"/>
        </w:rPr>
        <w:t>.</w:t>
      </w:r>
    </w:p>
    <w:p w14:paraId="29E2F935" w14:textId="77777777" w:rsidR="00E01C37" w:rsidRPr="00E87CBC" w:rsidRDefault="00E01C3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2F03438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2" w:name="_Toc140256430"/>
      <w:r w:rsidRPr="00E87CBC">
        <w:rPr>
          <w:rFonts w:ascii="Century Gothic" w:hAnsi="Century Gothic"/>
          <w:szCs w:val="24"/>
        </w:rPr>
        <w:t>1</w:t>
      </w:r>
      <w:r w:rsidR="00B80876" w:rsidRPr="00E87CBC">
        <w:rPr>
          <w:rFonts w:ascii="Century Gothic" w:hAnsi="Century Gothic"/>
          <w:szCs w:val="24"/>
        </w:rPr>
        <w:t>1</w:t>
      </w:r>
      <w:r w:rsidRPr="00E87CBC">
        <w:rPr>
          <w:rFonts w:ascii="Century Gothic" w:hAnsi="Century Gothic"/>
          <w:szCs w:val="24"/>
        </w:rPr>
        <w:t xml:space="preserve">. </w:t>
      </w:r>
      <w:r w:rsidR="00E7435E" w:rsidRPr="00E87CBC">
        <w:rPr>
          <w:rFonts w:ascii="Century Gothic" w:hAnsi="Century Gothic"/>
          <w:szCs w:val="24"/>
        </w:rPr>
        <w:t>PROCEDIMIENTO PARA REALIZAR LAS ACTIVIDADES</w:t>
      </w:r>
      <w:bookmarkEnd w:id="12"/>
      <w:r w:rsidR="00E7435E" w:rsidRPr="00E87CBC">
        <w:rPr>
          <w:rFonts w:ascii="Century Gothic" w:hAnsi="Century Gothic"/>
          <w:szCs w:val="24"/>
        </w:rPr>
        <w:t xml:space="preserve"> </w:t>
      </w:r>
    </w:p>
    <w:p w14:paraId="14102808" w14:textId="77777777" w:rsidR="00BE6EE6" w:rsidRPr="00E87CBC" w:rsidRDefault="00BE6EE6" w:rsidP="003A5914">
      <w:pPr>
        <w:spacing w:after="0" w:line="276" w:lineRule="auto"/>
        <w:rPr>
          <w:rFonts w:ascii="Century Gothic" w:hAnsi="Century Gothic"/>
          <w:szCs w:val="24"/>
        </w:rPr>
      </w:pPr>
    </w:p>
    <w:p w14:paraId="4ADC6CA9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PREPARACIÓN</w:t>
      </w:r>
    </w:p>
    <w:p w14:paraId="05415A40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37300E56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color w:val="00B0F0"/>
          <w:szCs w:val="24"/>
        </w:rPr>
      </w:pPr>
      <w:r w:rsidRPr="00E87CBC">
        <w:rPr>
          <w:rFonts w:ascii="Century Gothic" w:hAnsi="Century Gothic"/>
          <w:szCs w:val="24"/>
        </w:rPr>
        <w:t xml:space="preserve">Con fundamento en las metas establecidas en el Plan Estratégico y las directrices del Presidente Ejecutivo, se realizarán las proyecciones financieras de la disponibilidad de recursos para </w:t>
      </w:r>
      <w:r w:rsidR="00B80876" w:rsidRPr="00E87CBC">
        <w:rPr>
          <w:rFonts w:ascii="Century Gothic" w:hAnsi="Century Gothic"/>
          <w:szCs w:val="24"/>
        </w:rPr>
        <w:t xml:space="preserve">inversión en </w:t>
      </w:r>
      <w:r w:rsidRPr="00E87CBC">
        <w:rPr>
          <w:rFonts w:ascii="Century Gothic" w:hAnsi="Century Gothic"/>
          <w:szCs w:val="24"/>
        </w:rPr>
        <w:t xml:space="preserve">la </w:t>
      </w:r>
      <w:r w:rsidR="00B80876" w:rsidRPr="00E87CBC">
        <w:rPr>
          <w:rFonts w:ascii="Century Gothic" w:hAnsi="Century Gothic"/>
          <w:szCs w:val="24"/>
        </w:rPr>
        <w:t xml:space="preserve">correspondiente </w:t>
      </w:r>
      <w:r w:rsidRPr="00E87CBC">
        <w:rPr>
          <w:rFonts w:ascii="Century Gothic" w:hAnsi="Century Gothic"/>
          <w:szCs w:val="24"/>
        </w:rPr>
        <w:t>vigencia</w:t>
      </w:r>
      <w:r w:rsidR="00A06E60" w:rsidRPr="00E87CBC">
        <w:rPr>
          <w:rFonts w:ascii="Century Gothic" w:hAnsi="Century Gothic"/>
          <w:szCs w:val="24"/>
        </w:rPr>
        <w:t>, definiendo en el plan de inversión los conceptos propios de los proyectos a desarrollar</w:t>
      </w:r>
      <w:r w:rsidRPr="00E87CBC">
        <w:rPr>
          <w:rFonts w:ascii="Century Gothic" w:hAnsi="Century Gothic"/>
          <w:color w:val="auto"/>
          <w:szCs w:val="24"/>
        </w:rPr>
        <w:t>.</w:t>
      </w:r>
    </w:p>
    <w:p w14:paraId="49A2BEDA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03808139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</w:t>
      </w:r>
      <w:r w:rsidR="00A06E60" w:rsidRPr="00E87CBC">
        <w:rPr>
          <w:rFonts w:ascii="Century Gothic" w:hAnsi="Century Gothic"/>
          <w:szCs w:val="24"/>
        </w:rPr>
        <w:t xml:space="preserve">Plan de Inversiones se incorpora al </w:t>
      </w:r>
      <w:r w:rsidRPr="00E87CBC">
        <w:rPr>
          <w:rFonts w:ascii="Century Gothic" w:hAnsi="Century Gothic"/>
          <w:szCs w:val="24"/>
        </w:rPr>
        <w:t xml:space="preserve">Proyecto de Presupuesto </w:t>
      </w:r>
      <w:r w:rsidR="00A06E60" w:rsidRPr="00E87CBC">
        <w:rPr>
          <w:rFonts w:ascii="Century Gothic" w:hAnsi="Century Gothic"/>
          <w:szCs w:val="24"/>
        </w:rPr>
        <w:t xml:space="preserve">que </w:t>
      </w:r>
      <w:r w:rsidRPr="00E87CBC">
        <w:rPr>
          <w:rFonts w:ascii="Century Gothic" w:hAnsi="Century Gothic"/>
          <w:szCs w:val="24"/>
        </w:rPr>
        <w:t xml:space="preserve">debe contar con la revisión del Presidente Ejecutivo a más tardar </w:t>
      </w:r>
      <w:r w:rsidRPr="00E87CBC">
        <w:rPr>
          <w:rFonts w:ascii="Century Gothic" w:hAnsi="Century Gothic"/>
          <w:color w:val="auto"/>
          <w:szCs w:val="24"/>
        </w:rPr>
        <w:t xml:space="preserve">el 20 de noviembre </w:t>
      </w:r>
      <w:r w:rsidRPr="00E87CBC">
        <w:rPr>
          <w:rFonts w:ascii="Century Gothic" w:hAnsi="Century Gothic"/>
          <w:szCs w:val="24"/>
        </w:rPr>
        <w:t>de cada año para ser presentado a la Junta Directiva.</w:t>
      </w:r>
    </w:p>
    <w:p w14:paraId="73EA1AE1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77162C43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APROBACIÓN</w:t>
      </w:r>
    </w:p>
    <w:p w14:paraId="28ACF05D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0D8DFA87" w14:textId="13567DAC" w:rsidR="00DC23B4" w:rsidRPr="00E87CBC" w:rsidRDefault="00DC23B4" w:rsidP="5BC7E1DE">
      <w:pPr>
        <w:spacing w:after="0" w:line="240" w:lineRule="auto"/>
        <w:ind w:left="0" w:firstLine="0"/>
        <w:rPr>
          <w:rFonts w:ascii="Century Gothic" w:hAnsi="Century Gothic"/>
        </w:rPr>
      </w:pPr>
      <w:r w:rsidRPr="5BC7E1DE">
        <w:rPr>
          <w:rFonts w:ascii="Century Gothic" w:hAnsi="Century Gothic"/>
        </w:rPr>
        <w:t xml:space="preserve">Corresponde a la Junta Directiva la aprobación del </w:t>
      </w:r>
      <w:r w:rsidR="00A06E60" w:rsidRPr="5BC7E1DE">
        <w:rPr>
          <w:rFonts w:ascii="Century Gothic" w:hAnsi="Century Gothic"/>
        </w:rPr>
        <w:t xml:space="preserve">Plan de Inversiones como parte integral del </w:t>
      </w:r>
      <w:r w:rsidRPr="5BC7E1DE">
        <w:rPr>
          <w:rFonts w:ascii="Century Gothic" w:hAnsi="Century Gothic"/>
        </w:rPr>
        <w:t xml:space="preserve">Presupuesto Anual, </w:t>
      </w:r>
      <w:r w:rsidRPr="00DC1CCE">
        <w:rPr>
          <w:rFonts w:ascii="Century Gothic" w:hAnsi="Century Gothic"/>
        </w:rPr>
        <w:t xml:space="preserve">la cual debe tramitarse en sesión </w:t>
      </w:r>
      <w:r w:rsidR="0072169B" w:rsidRPr="00DC1CCE">
        <w:rPr>
          <w:rFonts w:ascii="Century Gothic" w:hAnsi="Century Gothic"/>
        </w:rPr>
        <w:t>ordinaria</w:t>
      </w:r>
      <w:r w:rsidR="00490619" w:rsidRPr="00DC1CCE">
        <w:rPr>
          <w:rFonts w:ascii="Century Gothic" w:hAnsi="Century Gothic"/>
        </w:rPr>
        <w:t xml:space="preserve"> </w:t>
      </w:r>
      <w:r w:rsidR="0072169B" w:rsidRPr="00DC1CCE">
        <w:rPr>
          <w:rFonts w:ascii="Century Gothic" w:hAnsi="Century Gothic"/>
        </w:rPr>
        <w:t>o</w:t>
      </w:r>
      <w:r w:rsidRPr="00DC1CCE">
        <w:rPr>
          <w:rFonts w:ascii="Century Gothic" w:hAnsi="Century Gothic"/>
          <w:color w:val="auto"/>
        </w:rPr>
        <w:t xml:space="preserve"> extraordinaria </w:t>
      </w:r>
      <w:r w:rsidR="00670038" w:rsidRPr="00DC1CCE">
        <w:rPr>
          <w:rFonts w:ascii="Century Gothic" w:hAnsi="Century Gothic"/>
          <w:color w:val="auto"/>
        </w:rPr>
        <w:t>del mes de noviembre o diciembre</w:t>
      </w:r>
      <w:r w:rsidR="60ED1AFF" w:rsidRPr="00DC1CCE">
        <w:rPr>
          <w:rFonts w:ascii="Century Gothic" w:hAnsi="Century Gothic"/>
          <w:color w:val="auto"/>
        </w:rPr>
        <w:t xml:space="preserve"> y</w:t>
      </w:r>
      <w:r w:rsidR="00670038" w:rsidRPr="00DC1CCE">
        <w:rPr>
          <w:rFonts w:ascii="Century Gothic" w:hAnsi="Century Gothic"/>
          <w:color w:val="auto"/>
        </w:rPr>
        <w:t xml:space="preserve"> hasta el 30</w:t>
      </w:r>
      <w:r w:rsidRPr="00DC1CCE">
        <w:rPr>
          <w:rFonts w:ascii="Century Gothic" w:hAnsi="Century Gothic"/>
          <w:color w:val="auto"/>
        </w:rPr>
        <w:t xml:space="preserve"> de diciembre</w:t>
      </w:r>
      <w:r w:rsidRPr="00DC1CCE">
        <w:rPr>
          <w:rFonts w:ascii="Century Gothic" w:hAnsi="Century Gothic"/>
        </w:rPr>
        <w:t>.</w:t>
      </w:r>
    </w:p>
    <w:p w14:paraId="1AD0BF3F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5545A230" w14:textId="77777777" w:rsidR="009F37DD" w:rsidRPr="00E87CBC" w:rsidRDefault="009F37DD" w:rsidP="00606BEF">
      <w:pPr>
        <w:spacing w:after="0"/>
        <w:rPr>
          <w:rFonts w:ascii="Century Gothic" w:hAnsi="Century Gothic"/>
          <w:b/>
          <w:szCs w:val="24"/>
        </w:rPr>
      </w:pPr>
      <w:bookmarkStart w:id="13" w:name="_Toc466550575"/>
      <w:r w:rsidRPr="00E87CBC">
        <w:rPr>
          <w:rFonts w:ascii="Century Gothic" w:hAnsi="Century Gothic"/>
          <w:b/>
        </w:rPr>
        <w:lastRenderedPageBreak/>
        <w:t xml:space="preserve">FASE DE </w:t>
      </w:r>
      <w:r w:rsidR="00DC23B4" w:rsidRPr="00E87CBC">
        <w:rPr>
          <w:rFonts w:ascii="Century Gothic" w:hAnsi="Century Gothic"/>
          <w:b/>
        </w:rPr>
        <w:t>EJECUCIÓN PRESUPUESTAL</w:t>
      </w:r>
      <w:bookmarkEnd w:id="13"/>
      <w:r w:rsidR="00DC23B4" w:rsidRPr="00E87CBC">
        <w:rPr>
          <w:rFonts w:ascii="Century Gothic" w:hAnsi="Century Gothic"/>
          <w:b/>
          <w:szCs w:val="24"/>
        </w:rPr>
        <w:t xml:space="preserve">. </w:t>
      </w:r>
    </w:p>
    <w:p w14:paraId="6B6BDE28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243692C1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Para la ejecución del </w:t>
      </w:r>
      <w:r w:rsidR="00A06E60" w:rsidRPr="00E87CBC">
        <w:rPr>
          <w:rFonts w:ascii="Century Gothic" w:hAnsi="Century Gothic"/>
          <w:szCs w:val="24"/>
        </w:rPr>
        <w:t xml:space="preserve">Plan de Inversiones se adquirirán los compromisos de adquisición de bienes conforme a los procedimientos de contratación y </w:t>
      </w:r>
      <w:r w:rsidRPr="00E87CBC">
        <w:rPr>
          <w:rFonts w:ascii="Century Gothic" w:hAnsi="Century Gothic"/>
          <w:szCs w:val="24"/>
        </w:rPr>
        <w:t>presupuesto</w:t>
      </w:r>
      <w:r w:rsidR="00A06E60" w:rsidRPr="00E87CBC">
        <w:rPr>
          <w:rFonts w:ascii="Century Gothic" w:hAnsi="Century Gothic"/>
          <w:szCs w:val="24"/>
        </w:rPr>
        <w:t xml:space="preserve"> vigentes.</w:t>
      </w:r>
    </w:p>
    <w:p w14:paraId="5CA8B115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E9E4A98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cuantías de las inversiones determinarán conforme a los estatutos vigentes y el manual de contratación los requerimientos de autorización previa por parte de la Junta Directiva.</w:t>
      </w:r>
    </w:p>
    <w:p w14:paraId="29A08C80" w14:textId="77777777" w:rsidR="00DC23B4" w:rsidRDefault="00DC23B4" w:rsidP="00DC23B4">
      <w:pPr>
        <w:spacing w:after="0"/>
        <w:rPr>
          <w:rFonts w:ascii="Century Gothic" w:hAnsi="Century Gothic"/>
          <w:szCs w:val="24"/>
        </w:rPr>
      </w:pPr>
    </w:p>
    <w:p w14:paraId="0F3AD7D4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FASE DE </w:t>
      </w:r>
      <w:r w:rsidR="00A06E60" w:rsidRPr="00E87CBC">
        <w:rPr>
          <w:rFonts w:ascii="Century Gothic" w:hAnsi="Century Gothic"/>
          <w:b/>
          <w:szCs w:val="24"/>
        </w:rPr>
        <w:t>REGISTRO</w:t>
      </w:r>
    </w:p>
    <w:p w14:paraId="5F76A4E0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659FFC71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el sistema de información contable se deberán registrar en forma separada los ingresos, gastos, activos, pasivos y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patrimonio de carácter p</w:t>
      </w:r>
      <w:r w:rsidR="004B3A07" w:rsidRPr="00E87CBC">
        <w:rPr>
          <w:rFonts w:ascii="Century Gothic" w:hAnsi="Century Gothic"/>
          <w:szCs w:val="24"/>
        </w:rPr>
        <w:t>ú</w:t>
      </w:r>
      <w:r w:rsidRPr="00E87CBC">
        <w:rPr>
          <w:rFonts w:ascii="Century Gothic" w:hAnsi="Century Gothic"/>
          <w:szCs w:val="24"/>
        </w:rPr>
        <w:t>blico, de cualesquiera otros que provengan de fuentes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privadas.</w:t>
      </w:r>
    </w:p>
    <w:p w14:paraId="45A45770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CBB3C1A" w14:textId="5ABD4B36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Los excedentes de liquidez generados a partir de los ingresos públicos, deberán ser administrados atendiendo criterios de liquidez y seguridad, en cuentas separadas en instituciones vigiladas por la Superintendencia </w:t>
      </w:r>
      <w:r w:rsidR="004B359A">
        <w:rPr>
          <w:rFonts w:ascii="Century Gothic" w:hAnsi="Century Gothic"/>
          <w:szCs w:val="24"/>
        </w:rPr>
        <w:t>Financiera de Colombia</w:t>
      </w:r>
      <w:r w:rsidRPr="00E87CBC">
        <w:rPr>
          <w:rFonts w:ascii="Century Gothic" w:hAnsi="Century Gothic"/>
          <w:szCs w:val="24"/>
        </w:rPr>
        <w:t>, o en títulos de deuda emitidos por ellas, por la Nación o por el Banco de la República.</w:t>
      </w:r>
    </w:p>
    <w:p w14:paraId="45FD982C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CC3AAF3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 concerniente a nuevos aportes de capital con recursos públicos en entidades sin ánimo de lucro, estarán sujetas a las mismas condiciones y requisitos establecidos en el artículo 96 de la Ley 489 de 1998 para las entidades del orden nacional. Todo aporte de capital con recursos de origen público en sociedades civiles o comerciales o en entidades sin ánimo de lucro, se realizará como aporte de origen público y así deberá quedar reflejado tanto en los registros de la sociedad o entidad en que se invierten, como en los de la respectiva cámara de comercio.</w:t>
      </w:r>
    </w:p>
    <w:p w14:paraId="6981F362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962DEE7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los actos de adquisición de bienes sujetos a registro en los cuales se empleen recursos públicos, así como en los registros correspondientes, deberá quedar plenamente identificado su origen y serán registrados a nombre de la Cámara de Comercio con la anotación expresa de "recursos de origen público".</w:t>
      </w:r>
    </w:p>
    <w:p w14:paraId="210E17C4" w14:textId="6BFE6D7D" w:rsidR="004B3A07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1ABB4661" w14:textId="77777777" w:rsidR="00FD268E" w:rsidRPr="00E87CBC" w:rsidRDefault="00FD268E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D9F0CF1" w14:textId="77777777" w:rsidR="00BE6EE6" w:rsidRPr="00E87CBC" w:rsidRDefault="002F55A7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4" w:name="_Toc140256431"/>
      <w:r w:rsidRPr="00E87CBC">
        <w:rPr>
          <w:rFonts w:ascii="Century Gothic" w:hAnsi="Century Gothic"/>
          <w:szCs w:val="24"/>
        </w:rPr>
        <w:t>1</w:t>
      </w:r>
      <w:r w:rsidR="003C315A" w:rsidRPr="00E87CBC">
        <w:rPr>
          <w:rFonts w:ascii="Century Gothic" w:hAnsi="Century Gothic"/>
          <w:szCs w:val="24"/>
        </w:rPr>
        <w:t>2</w:t>
      </w:r>
      <w:r w:rsidRPr="00E87CBC">
        <w:rPr>
          <w:rFonts w:ascii="Century Gothic" w:hAnsi="Century Gothic"/>
          <w:szCs w:val="24"/>
        </w:rPr>
        <w:t>. PROCEDIMIENTOS RELACIONADOS</w:t>
      </w:r>
      <w:bookmarkEnd w:id="14"/>
      <w:r w:rsidRPr="00E87CBC">
        <w:rPr>
          <w:rFonts w:ascii="Century Gothic" w:hAnsi="Century Gothic"/>
          <w:szCs w:val="24"/>
        </w:rPr>
        <w:t xml:space="preserve"> </w:t>
      </w:r>
    </w:p>
    <w:p w14:paraId="19C0502C" w14:textId="77777777" w:rsidR="007632B8" w:rsidRPr="00E87CBC" w:rsidRDefault="007632B8" w:rsidP="00111795">
      <w:pPr>
        <w:spacing w:after="0" w:line="276" w:lineRule="auto"/>
        <w:rPr>
          <w:rFonts w:ascii="Century Gothic" w:hAnsi="Century Gothic"/>
        </w:rPr>
      </w:pPr>
    </w:p>
    <w:tbl>
      <w:tblPr>
        <w:tblStyle w:val="TableGrid"/>
        <w:tblW w:w="9466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969"/>
        <w:gridCol w:w="3544"/>
      </w:tblGrid>
      <w:tr w:rsidR="00BE6EE6" w:rsidRPr="00E87CBC" w14:paraId="69618979" w14:textId="77777777" w:rsidTr="0072169B">
        <w:trPr>
          <w:trHeight w:val="32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A91" w14:textId="77777777" w:rsidR="00BE6EE6" w:rsidRPr="00E87CBC" w:rsidRDefault="002F55A7" w:rsidP="0072169B">
            <w:pPr>
              <w:spacing w:after="0" w:line="240" w:lineRule="auto"/>
              <w:ind w:left="0" w:right="1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lastRenderedPageBreak/>
              <w:t>CODIGO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118" w14:textId="77777777" w:rsidR="00BE6EE6" w:rsidRPr="00E87CBC" w:rsidRDefault="002F55A7" w:rsidP="0072169B">
            <w:pPr>
              <w:spacing w:after="0" w:line="240" w:lineRule="auto"/>
              <w:ind w:left="0" w:right="8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3D5" w14:textId="77777777" w:rsidR="00BE6EE6" w:rsidRPr="00E87CBC" w:rsidRDefault="002F55A7" w:rsidP="0072169B">
            <w:pPr>
              <w:spacing w:after="0" w:line="240" w:lineRule="auto"/>
              <w:ind w:left="0" w:right="2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87CBC" w14:paraId="5EB3937E" w14:textId="77777777" w:rsidTr="0072169B">
        <w:trPr>
          <w:trHeight w:val="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3FA" w14:textId="77777777" w:rsidR="00BE6EE6" w:rsidRPr="00E87CBC" w:rsidRDefault="009F5103" w:rsidP="0072169B">
            <w:pPr>
              <w:spacing w:after="0" w:line="240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PDO-</w:t>
            </w:r>
            <w:r w:rsidR="00EB0BD8" w:rsidRPr="00E87CBC">
              <w:rPr>
                <w:rFonts w:ascii="Century Gothic" w:hAnsi="Century Gothic"/>
                <w:szCs w:val="24"/>
              </w:rPr>
              <w:t>DAF</w:t>
            </w:r>
            <w:r w:rsidRPr="00E87CBC">
              <w:rPr>
                <w:rFonts w:ascii="Century Gothic" w:hAnsi="Century Gothic"/>
                <w:szCs w:val="24"/>
              </w:rPr>
              <w:t>-0</w:t>
            </w:r>
            <w:r w:rsidR="004B3A07" w:rsidRPr="00E87CBC">
              <w:rPr>
                <w:rFonts w:ascii="Century Gothic" w:hAnsi="Century Gothic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2AD" w14:textId="77777777" w:rsidR="00BE6EE6" w:rsidRPr="00E87CBC" w:rsidRDefault="004B3A07" w:rsidP="0072169B">
            <w:pPr>
              <w:spacing w:after="0" w:line="240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INVERSIONES PÚBLICAS Y PRIVADAS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D0E" w14:textId="77777777" w:rsidR="00BE6EE6" w:rsidRPr="00E87CBC" w:rsidRDefault="00EB0BD8" w:rsidP="0072169B">
            <w:pPr>
              <w:spacing w:after="0" w:line="240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 w:cs="Tahoma"/>
                <w:bCs/>
                <w:lang w:val="es-CO"/>
              </w:rPr>
              <w:t>Director Administrativo y Financiero</w:t>
            </w:r>
          </w:p>
        </w:tc>
      </w:tr>
    </w:tbl>
    <w:p w14:paraId="2A2E27B6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 </w:t>
      </w:r>
    </w:p>
    <w:sectPr w:rsidR="00BE6EE6" w:rsidRPr="00E87CBC" w:rsidSect="00F02D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2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F639" w14:textId="77777777" w:rsidR="00BF395F" w:rsidRDefault="00BF395F">
      <w:pPr>
        <w:spacing w:after="0" w:line="240" w:lineRule="auto"/>
      </w:pPr>
      <w:r>
        <w:separator/>
      </w:r>
    </w:p>
  </w:endnote>
  <w:endnote w:type="continuationSeparator" w:id="0">
    <w:p w14:paraId="08422265" w14:textId="77777777" w:rsidR="00BF395F" w:rsidRDefault="00BF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A904" w14:textId="0F3A57C4" w:rsidR="00BF148B" w:rsidRPr="000D29DB" w:rsidRDefault="00BF148B" w:rsidP="000D29DB">
    <w:pPr>
      <w:pStyle w:val="Piedepgina"/>
      <w:jc w:val="right"/>
      <w:rPr>
        <w:rFonts w:ascii="Arial Narrow" w:hAnsi="Arial Narrow"/>
        <w:sz w:val="20"/>
      </w:rPr>
    </w:pPr>
    <w:r w:rsidRPr="000D29DB">
      <w:rPr>
        <w:rFonts w:ascii="Arial Narrow" w:hAnsi="Arial Narrow"/>
        <w:sz w:val="20"/>
      </w:rPr>
      <w:t xml:space="preserve">Página </w:t>
    </w:r>
    <w:r w:rsidR="009F3D08" w:rsidRPr="000D29DB">
      <w:rPr>
        <w:rFonts w:ascii="Arial Narrow" w:hAnsi="Arial Narrow"/>
        <w:b/>
        <w:sz w:val="20"/>
      </w:rPr>
      <w:fldChar w:fldCharType="begin"/>
    </w:r>
    <w:r w:rsidRPr="000D29DB">
      <w:rPr>
        <w:rFonts w:ascii="Arial Narrow" w:hAnsi="Arial Narrow"/>
        <w:b/>
        <w:sz w:val="20"/>
      </w:rPr>
      <w:instrText>PAGE  \* Arabic  \* MERGEFORMAT</w:instrText>
    </w:r>
    <w:r w:rsidR="009F3D08" w:rsidRPr="000D29DB">
      <w:rPr>
        <w:rFonts w:ascii="Arial Narrow" w:hAnsi="Arial Narrow"/>
        <w:b/>
        <w:sz w:val="20"/>
      </w:rPr>
      <w:fldChar w:fldCharType="separate"/>
    </w:r>
    <w:r w:rsidR="00787FA4">
      <w:rPr>
        <w:rFonts w:ascii="Arial Narrow" w:hAnsi="Arial Narrow"/>
        <w:b/>
        <w:noProof/>
        <w:sz w:val="20"/>
      </w:rPr>
      <w:t>5</w:t>
    </w:r>
    <w:r w:rsidR="009F3D08" w:rsidRPr="000D29DB">
      <w:rPr>
        <w:rFonts w:ascii="Arial Narrow" w:hAnsi="Arial Narrow"/>
        <w:b/>
        <w:sz w:val="20"/>
      </w:rPr>
      <w:fldChar w:fldCharType="end"/>
    </w:r>
    <w:r w:rsidRPr="000D29DB">
      <w:rPr>
        <w:rFonts w:ascii="Arial Narrow" w:hAnsi="Arial Narrow"/>
        <w:sz w:val="20"/>
      </w:rPr>
      <w:t xml:space="preserve"> de </w:t>
    </w:r>
    <w:fldSimple w:instr="NUMPAGES  \* Arabic  \* MERGEFORMAT">
      <w:r w:rsidR="00787FA4" w:rsidRPr="00787FA4">
        <w:rPr>
          <w:rFonts w:ascii="Arial Narrow" w:hAnsi="Arial Narrow"/>
          <w:b/>
          <w:noProof/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D0CA" w14:textId="77777777" w:rsidR="00BF395F" w:rsidRDefault="00BF395F">
      <w:pPr>
        <w:spacing w:after="0" w:line="240" w:lineRule="auto"/>
      </w:pPr>
      <w:r>
        <w:separator/>
      </w:r>
    </w:p>
  </w:footnote>
  <w:footnote w:type="continuationSeparator" w:id="0">
    <w:p w14:paraId="633F0106" w14:textId="77777777" w:rsidR="00BF395F" w:rsidRDefault="00BF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6"/>
      <w:gridCol w:w="5094"/>
      <w:gridCol w:w="2223"/>
    </w:tblGrid>
    <w:tr w:rsidR="00BF148B" w:rsidRPr="00413CCA" w14:paraId="718E38FB" w14:textId="77777777" w:rsidTr="00FF2962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FB49B09" w14:textId="77777777" w:rsidR="00BF148B" w:rsidRPr="005B57FB" w:rsidRDefault="00BF148B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2C4091C" wp14:editId="659E62FE">
                <wp:extent cx="1539240" cy="464820"/>
                <wp:effectExtent l="19050" t="0" r="3810" b="0"/>
                <wp:docPr id="2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6EAC6B8D" w14:textId="77777777" w:rsidR="00BF148B" w:rsidRPr="00E24BE9" w:rsidRDefault="00BF148B" w:rsidP="00111795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PRESUPUESTO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7A704C5" w14:textId="77777777" w:rsidR="00BF148B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0D6EDFD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CMC-02</w:t>
          </w:r>
        </w:p>
      </w:tc>
    </w:tr>
    <w:tr w:rsidR="00BF148B" w:rsidRPr="00413CCA" w14:paraId="297EB898" w14:textId="77777777" w:rsidTr="00FF2962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82CFB6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70B49E5D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C2C45CD" w14:textId="77777777" w:rsidR="00BF148B" w:rsidRPr="004A1C82" w:rsidRDefault="00BF148B" w:rsidP="00FF2962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F148B" w:rsidRPr="00413CCA" w14:paraId="60DE9FAD" w14:textId="77777777" w:rsidTr="00FF2962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D7C610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7A24FA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D5E5D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NOVIEM 30 DE 2016</w:t>
          </w:r>
        </w:p>
      </w:tc>
    </w:tr>
  </w:tbl>
  <w:p w14:paraId="57A08963" w14:textId="77777777" w:rsidR="00BF148B" w:rsidRDefault="00BF148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6" w:type="pct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4189"/>
      <w:gridCol w:w="2410"/>
    </w:tblGrid>
    <w:tr w:rsidR="00BF148B" w:rsidRPr="00413CCA" w14:paraId="067C79D2" w14:textId="77777777" w:rsidTr="00AD39FC">
      <w:trPr>
        <w:trHeight w:val="220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9BDF080" w14:textId="5EBBC540" w:rsidR="00BF148B" w:rsidRPr="005B57FB" w:rsidRDefault="008B7208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C6FACD6" wp14:editId="6101EE1C">
                <wp:extent cx="1403350" cy="567055"/>
                <wp:effectExtent l="0" t="0" r="6350" b="4445"/>
                <wp:docPr id="6790097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26C02B3A" w14:textId="77777777" w:rsidR="00BF148B" w:rsidRPr="00AD39FC" w:rsidRDefault="00BF148B" w:rsidP="00395DDD">
          <w:pPr>
            <w:jc w:val="center"/>
            <w:rPr>
              <w:rFonts w:ascii="Century Gothic" w:hAnsi="Century Gothic"/>
              <w:b/>
              <w:bCs/>
            </w:rPr>
          </w:pPr>
          <w:r w:rsidRPr="00AD39FC">
            <w:rPr>
              <w:rFonts w:ascii="Century Gothic" w:hAnsi="Century Gothic"/>
              <w:b/>
              <w:bCs/>
              <w:sz w:val="22"/>
            </w:rPr>
            <w:t>MANUAL DE INVERSION</w:t>
          </w:r>
        </w:p>
      </w:tc>
      <w:tc>
        <w:tcPr>
          <w:tcW w:w="134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54729E9" w14:textId="77777777" w:rsidR="00BF148B" w:rsidRPr="00AD39FC" w:rsidRDefault="00BF148B" w:rsidP="00FF2962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061FA152" w14:textId="77777777" w:rsidR="00BF148B" w:rsidRPr="00AD39FC" w:rsidRDefault="00BF148B" w:rsidP="009F24A6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CODIGO : </w:t>
          </w:r>
          <w:r w:rsidR="00E400F5"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      </w:t>
          </w:r>
          <w:r w:rsidRPr="00AD39FC">
            <w:rPr>
              <w:rFonts w:ascii="Century Gothic" w:hAnsi="Century Gothic"/>
              <w:bCs/>
              <w:sz w:val="18"/>
              <w:szCs w:val="18"/>
            </w:rPr>
            <w:t>MAN-DAF-</w:t>
          </w:r>
          <w:r w:rsidR="009F24A6" w:rsidRPr="00AD39FC">
            <w:rPr>
              <w:rFonts w:ascii="Century Gothic" w:hAnsi="Century Gothic"/>
              <w:bCs/>
              <w:sz w:val="18"/>
              <w:szCs w:val="18"/>
            </w:rPr>
            <w:t>01</w:t>
          </w:r>
        </w:p>
      </w:tc>
    </w:tr>
    <w:tr w:rsidR="00BF148B" w:rsidRPr="00413CCA" w14:paraId="23E34FDF" w14:textId="77777777" w:rsidTr="00AD39FC">
      <w:trPr>
        <w:trHeight w:val="199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05A1526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AEA44EC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62DDCA" w14:textId="252BB1A1" w:rsidR="00BF148B" w:rsidRPr="00AD39FC" w:rsidRDefault="00BF148B" w:rsidP="009F24A6">
          <w:pPr>
            <w:rPr>
              <w:rFonts w:ascii="Century Gothic" w:hAnsi="Century Gothic"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 </w:t>
          </w:r>
          <w:r w:rsidR="008B7208">
            <w:rPr>
              <w:rFonts w:ascii="Century Gothic" w:hAnsi="Century Gothic"/>
              <w:b/>
              <w:bCs/>
              <w:sz w:val="18"/>
              <w:szCs w:val="18"/>
            </w:rPr>
            <w:t>4</w:t>
          </w:r>
        </w:p>
      </w:tc>
    </w:tr>
    <w:tr w:rsidR="00BF148B" w:rsidRPr="00413CCA" w14:paraId="7D59E94E" w14:textId="77777777" w:rsidTr="00AD39FC">
      <w:trPr>
        <w:trHeight w:val="215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627BEE68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776082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623FAD1" w14:textId="5A4FD40E" w:rsidR="00E400F5" w:rsidRPr="00AD39FC" w:rsidRDefault="00BF148B" w:rsidP="00E400F5">
          <w:pPr>
            <w:rPr>
              <w:rFonts w:ascii="Century Gothic" w:hAnsi="Century Gothic"/>
              <w:bCs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>FECHA</w:t>
          </w:r>
          <w:r w:rsidRPr="00AD39FC">
            <w:rPr>
              <w:rFonts w:ascii="Century Gothic" w:hAnsi="Century Gothic"/>
              <w:b/>
              <w:bCs/>
              <w:sz w:val="16"/>
              <w:szCs w:val="16"/>
            </w:rPr>
            <w:t>:</w:t>
          </w:r>
          <w:r w:rsidR="00C467FA">
            <w:rPr>
              <w:rFonts w:ascii="Century Gothic" w:hAnsi="Century Gothic"/>
              <w:b/>
              <w:bCs/>
              <w:sz w:val="16"/>
              <w:szCs w:val="16"/>
            </w:rPr>
            <w:t xml:space="preserve"> 11 DE FEBRERO DE     2025</w:t>
          </w:r>
        </w:p>
      </w:tc>
    </w:tr>
  </w:tbl>
  <w:p w14:paraId="7D585D2D" w14:textId="77777777" w:rsidR="00BF148B" w:rsidRDefault="00BF148B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3417" w14:textId="77777777" w:rsidR="00BF148B" w:rsidRDefault="00BF148B">
    <w:pPr>
      <w:spacing w:after="160" w:line="259" w:lineRule="auto"/>
      <w:ind w:left="0" w:firstLine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65674"/>
    <w:multiLevelType w:val="hybridMultilevel"/>
    <w:tmpl w:val="5C36E93C"/>
    <w:lvl w:ilvl="0" w:tplc="B59C9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22A"/>
    <w:multiLevelType w:val="hybridMultilevel"/>
    <w:tmpl w:val="899C9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34D"/>
    <w:multiLevelType w:val="hybridMultilevel"/>
    <w:tmpl w:val="58400610"/>
    <w:lvl w:ilvl="0" w:tplc="3A7AEA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1000F"/>
    <w:multiLevelType w:val="hybridMultilevel"/>
    <w:tmpl w:val="D01A2380"/>
    <w:lvl w:ilvl="0" w:tplc="48AEB922">
      <w:start w:val="1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1C75DD8"/>
    <w:multiLevelType w:val="hybridMultilevel"/>
    <w:tmpl w:val="D1CA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977C01"/>
    <w:multiLevelType w:val="hybridMultilevel"/>
    <w:tmpl w:val="B358D8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04D9C"/>
    <w:multiLevelType w:val="hybridMultilevel"/>
    <w:tmpl w:val="F552E04A"/>
    <w:lvl w:ilvl="0" w:tplc="D222E9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 w15:restartNumberingAfterBreak="0">
    <w:nsid w:val="3ABE5CC9"/>
    <w:multiLevelType w:val="hybridMultilevel"/>
    <w:tmpl w:val="D8C8F084"/>
    <w:lvl w:ilvl="0" w:tplc="3D567F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DA52D93"/>
    <w:multiLevelType w:val="hybridMultilevel"/>
    <w:tmpl w:val="2B00EF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33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34" w15:restartNumberingAfterBreak="0">
    <w:nsid w:val="63F73E86"/>
    <w:multiLevelType w:val="hybridMultilevel"/>
    <w:tmpl w:val="B9326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096133">
    <w:abstractNumId w:val="24"/>
  </w:num>
  <w:num w:numId="2" w16cid:durableId="1710370998">
    <w:abstractNumId w:val="30"/>
  </w:num>
  <w:num w:numId="3" w16cid:durableId="815994242">
    <w:abstractNumId w:val="25"/>
  </w:num>
  <w:num w:numId="4" w16cid:durableId="2060200493">
    <w:abstractNumId w:val="37"/>
  </w:num>
  <w:num w:numId="5" w16cid:durableId="2084057753">
    <w:abstractNumId w:val="28"/>
  </w:num>
  <w:num w:numId="6" w16cid:durableId="160775301">
    <w:abstractNumId w:val="11"/>
  </w:num>
  <w:num w:numId="7" w16cid:durableId="254829493">
    <w:abstractNumId w:val="26"/>
  </w:num>
  <w:num w:numId="8" w16cid:durableId="897059319">
    <w:abstractNumId w:val="18"/>
  </w:num>
  <w:num w:numId="9" w16cid:durableId="1180582412">
    <w:abstractNumId w:val="41"/>
  </w:num>
  <w:num w:numId="10" w16cid:durableId="1341394554">
    <w:abstractNumId w:val="15"/>
  </w:num>
  <w:num w:numId="11" w16cid:durableId="929851320">
    <w:abstractNumId w:val="9"/>
  </w:num>
  <w:num w:numId="12" w16cid:durableId="68239576">
    <w:abstractNumId w:val="40"/>
  </w:num>
  <w:num w:numId="13" w16cid:durableId="343441312">
    <w:abstractNumId w:val="29"/>
  </w:num>
  <w:num w:numId="14" w16cid:durableId="1049374635">
    <w:abstractNumId w:val="0"/>
  </w:num>
  <w:num w:numId="15" w16cid:durableId="436103403">
    <w:abstractNumId w:val="27"/>
  </w:num>
  <w:num w:numId="16" w16cid:durableId="1682121096">
    <w:abstractNumId w:val="39"/>
  </w:num>
  <w:num w:numId="17" w16cid:durableId="1414005985">
    <w:abstractNumId w:val="4"/>
  </w:num>
  <w:num w:numId="18" w16cid:durableId="1003122638">
    <w:abstractNumId w:val="32"/>
  </w:num>
  <w:num w:numId="19" w16cid:durableId="593363804">
    <w:abstractNumId w:val="33"/>
  </w:num>
  <w:num w:numId="20" w16cid:durableId="1232696292">
    <w:abstractNumId w:val="38"/>
  </w:num>
  <w:num w:numId="21" w16cid:durableId="862980294">
    <w:abstractNumId w:val="35"/>
  </w:num>
  <w:num w:numId="22" w16cid:durableId="45105325">
    <w:abstractNumId w:val="13"/>
  </w:num>
  <w:num w:numId="23" w16cid:durableId="1546599975">
    <w:abstractNumId w:val="2"/>
  </w:num>
  <w:num w:numId="24" w16cid:durableId="1863090050">
    <w:abstractNumId w:val="5"/>
  </w:num>
  <w:num w:numId="25" w16cid:durableId="1660693113">
    <w:abstractNumId w:val="31"/>
  </w:num>
  <w:num w:numId="26" w16cid:durableId="458454957">
    <w:abstractNumId w:val="12"/>
  </w:num>
  <w:num w:numId="27" w16cid:durableId="472253230">
    <w:abstractNumId w:val="10"/>
  </w:num>
  <w:num w:numId="28" w16cid:durableId="704522902">
    <w:abstractNumId w:val="14"/>
  </w:num>
  <w:num w:numId="29" w16cid:durableId="1702365525">
    <w:abstractNumId w:val="42"/>
  </w:num>
  <w:num w:numId="30" w16cid:durableId="2023823092">
    <w:abstractNumId w:val="3"/>
  </w:num>
  <w:num w:numId="31" w16cid:durableId="1626502093">
    <w:abstractNumId w:val="1"/>
  </w:num>
  <w:num w:numId="32" w16cid:durableId="207912516">
    <w:abstractNumId w:val="36"/>
  </w:num>
  <w:num w:numId="33" w16cid:durableId="806699274">
    <w:abstractNumId w:val="21"/>
  </w:num>
  <w:num w:numId="34" w16cid:durableId="291447762">
    <w:abstractNumId w:val="20"/>
  </w:num>
  <w:num w:numId="35" w16cid:durableId="2123570793">
    <w:abstractNumId w:val="23"/>
  </w:num>
  <w:num w:numId="36" w16cid:durableId="1299410442">
    <w:abstractNumId w:val="34"/>
  </w:num>
  <w:num w:numId="37" w16cid:durableId="977880860">
    <w:abstractNumId w:val="19"/>
  </w:num>
  <w:num w:numId="38" w16cid:durableId="329872022">
    <w:abstractNumId w:val="8"/>
  </w:num>
  <w:num w:numId="39" w16cid:durableId="521481034">
    <w:abstractNumId w:val="6"/>
  </w:num>
  <w:num w:numId="40" w16cid:durableId="2110618244">
    <w:abstractNumId w:val="17"/>
  </w:num>
  <w:num w:numId="41" w16cid:durableId="1996638615">
    <w:abstractNumId w:val="7"/>
  </w:num>
  <w:num w:numId="42" w16cid:durableId="2059742877">
    <w:abstractNumId w:val="16"/>
  </w:num>
  <w:num w:numId="43" w16cid:durableId="836044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E6"/>
    <w:rsid w:val="00004CAF"/>
    <w:rsid w:val="000328CA"/>
    <w:rsid w:val="00053ECB"/>
    <w:rsid w:val="00066266"/>
    <w:rsid w:val="000A0375"/>
    <w:rsid w:val="000B51EC"/>
    <w:rsid w:val="000B5C63"/>
    <w:rsid w:val="000B7B8C"/>
    <w:rsid w:val="000C00D7"/>
    <w:rsid w:val="000D00BA"/>
    <w:rsid w:val="000D29DB"/>
    <w:rsid w:val="000F1A78"/>
    <w:rsid w:val="00111795"/>
    <w:rsid w:val="00124DEF"/>
    <w:rsid w:val="0013314B"/>
    <w:rsid w:val="001439E7"/>
    <w:rsid w:val="00152610"/>
    <w:rsid w:val="00153EB5"/>
    <w:rsid w:val="001633CC"/>
    <w:rsid w:val="001909B2"/>
    <w:rsid w:val="00196820"/>
    <w:rsid w:val="001B2949"/>
    <w:rsid w:val="001D1AFD"/>
    <w:rsid w:val="001D36B8"/>
    <w:rsid w:val="001E4569"/>
    <w:rsid w:val="001F76BC"/>
    <w:rsid w:val="00217283"/>
    <w:rsid w:val="002302C3"/>
    <w:rsid w:val="00233D82"/>
    <w:rsid w:val="002377C0"/>
    <w:rsid w:val="00253EEF"/>
    <w:rsid w:val="00265922"/>
    <w:rsid w:val="00266E12"/>
    <w:rsid w:val="00271F8C"/>
    <w:rsid w:val="00280381"/>
    <w:rsid w:val="002826FF"/>
    <w:rsid w:val="002A4107"/>
    <w:rsid w:val="002A52ED"/>
    <w:rsid w:val="002C2201"/>
    <w:rsid w:val="002C4E95"/>
    <w:rsid w:val="002D754F"/>
    <w:rsid w:val="002E6AEB"/>
    <w:rsid w:val="002F52EA"/>
    <w:rsid w:val="002F55A7"/>
    <w:rsid w:val="002F5DF6"/>
    <w:rsid w:val="003017D7"/>
    <w:rsid w:val="00321888"/>
    <w:rsid w:val="003218F9"/>
    <w:rsid w:val="00330BD6"/>
    <w:rsid w:val="0033155A"/>
    <w:rsid w:val="00336D22"/>
    <w:rsid w:val="0034431C"/>
    <w:rsid w:val="003458BD"/>
    <w:rsid w:val="0035362C"/>
    <w:rsid w:val="00355B2B"/>
    <w:rsid w:val="00355E4E"/>
    <w:rsid w:val="00364E66"/>
    <w:rsid w:val="00367B4C"/>
    <w:rsid w:val="00375E06"/>
    <w:rsid w:val="00391188"/>
    <w:rsid w:val="003912FF"/>
    <w:rsid w:val="00395DDD"/>
    <w:rsid w:val="003A5914"/>
    <w:rsid w:val="003B41EF"/>
    <w:rsid w:val="003B48D3"/>
    <w:rsid w:val="003C315A"/>
    <w:rsid w:val="003D4818"/>
    <w:rsid w:val="003D65D7"/>
    <w:rsid w:val="003F677E"/>
    <w:rsid w:val="004032AD"/>
    <w:rsid w:val="00421AA7"/>
    <w:rsid w:val="0042260F"/>
    <w:rsid w:val="00426650"/>
    <w:rsid w:val="0044181B"/>
    <w:rsid w:val="00452A9C"/>
    <w:rsid w:val="00453A6E"/>
    <w:rsid w:val="00460809"/>
    <w:rsid w:val="00461963"/>
    <w:rsid w:val="00490619"/>
    <w:rsid w:val="00495D0A"/>
    <w:rsid w:val="004B278D"/>
    <w:rsid w:val="004B359A"/>
    <w:rsid w:val="004B3A07"/>
    <w:rsid w:val="004B4663"/>
    <w:rsid w:val="004C5B13"/>
    <w:rsid w:val="004C7A14"/>
    <w:rsid w:val="004D62A8"/>
    <w:rsid w:val="005036A1"/>
    <w:rsid w:val="00514FB0"/>
    <w:rsid w:val="005224F0"/>
    <w:rsid w:val="0052785A"/>
    <w:rsid w:val="00531078"/>
    <w:rsid w:val="0053327E"/>
    <w:rsid w:val="005476C1"/>
    <w:rsid w:val="00577FD9"/>
    <w:rsid w:val="005862AA"/>
    <w:rsid w:val="005A1A14"/>
    <w:rsid w:val="005A2F1F"/>
    <w:rsid w:val="005A40A2"/>
    <w:rsid w:val="005B3BAF"/>
    <w:rsid w:val="005D33F1"/>
    <w:rsid w:val="005F3327"/>
    <w:rsid w:val="00603AB3"/>
    <w:rsid w:val="00606BEF"/>
    <w:rsid w:val="006132ED"/>
    <w:rsid w:val="00614D15"/>
    <w:rsid w:val="006159CA"/>
    <w:rsid w:val="00615B4E"/>
    <w:rsid w:val="006236CE"/>
    <w:rsid w:val="00633531"/>
    <w:rsid w:val="00633E2E"/>
    <w:rsid w:val="00662498"/>
    <w:rsid w:val="00665503"/>
    <w:rsid w:val="00670038"/>
    <w:rsid w:val="00682786"/>
    <w:rsid w:val="006973EB"/>
    <w:rsid w:val="006A48CE"/>
    <w:rsid w:val="006A5385"/>
    <w:rsid w:val="006A5C44"/>
    <w:rsid w:val="006D67C1"/>
    <w:rsid w:val="007133EB"/>
    <w:rsid w:val="00714C7D"/>
    <w:rsid w:val="00716095"/>
    <w:rsid w:val="00716684"/>
    <w:rsid w:val="00720984"/>
    <w:rsid w:val="0072169B"/>
    <w:rsid w:val="00721715"/>
    <w:rsid w:val="0073045A"/>
    <w:rsid w:val="00730CB2"/>
    <w:rsid w:val="007365FD"/>
    <w:rsid w:val="00745937"/>
    <w:rsid w:val="0075724A"/>
    <w:rsid w:val="007632B8"/>
    <w:rsid w:val="00771281"/>
    <w:rsid w:val="00782E81"/>
    <w:rsid w:val="007842FB"/>
    <w:rsid w:val="0078695E"/>
    <w:rsid w:val="00787FA4"/>
    <w:rsid w:val="007A157C"/>
    <w:rsid w:val="007A3BE5"/>
    <w:rsid w:val="007A79E3"/>
    <w:rsid w:val="007C7857"/>
    <w:rsid w:val="007D2DDF"/>
    <w:rsid w:val="007E2373"/>
    <w:rsid w:val="007F2029"/>
    <w:rsid w:val="007F3056"/>
    <w:rsid w:val="007F4452"/>
    <w:rsid w:val="00805E0A"/>
    <w:rsid w:val="00810C34"/>
    <w:rsid w:val="008116CB"/>
    <w:rsid w:val="008248A5"/>
    <w:rsid w:val="00840FD4"/>
    <w:rsid w:val="00861E8E"/>
    <w:rsid w:val="0086342C"/>
    <w:rsid w:val="00864B9F"/>
    <w:rsid w:val="00867436"/>
    <w:rsid w:val="008675B4"/>
    <w:rsid w:val="00873AC1"/>
    <w:rsid w:val="008902F2"/>
    <w:rsid w:val="008B7208"/>
    <w:rsid w:val="008C52F0"/>
    <w:rsid w:val="008D06D4"/>
    <w:rsid w:val="008E02F4"/>
    <w:rsid w:val="008E098C"/>
    <w:rsid w:val="008F397D"/>
    <w:rsid w:val="00900C1F"/>
    <w:rsid w:val="00903B4B"/>
    <w:rsid w:val="00904487"/>
    <w:rsid w:val="00921006"/>
    <w:rsid w:val="00931038"/>
    <w:rsid w:val="00936992"/>
    <w:rsid w:val="00951E57"/>
    <w:rsid w:val="009571FC"/>
    <w:rsid w:val="00961C67"/>
    <w:rsid w:val="0096532C"/>
    <w:rsid w:val="00995D95"/>
    <w:rsid w:val="009961A6"/>
    <w:rsid w:val="0099707E"/>
    <w:rsid w:val="009A6327"/>
    <w:rsid w:val="009D1DAB"/>
    <w:rsid w:val="009D549D"/>
    <w:rsid w:val="009D6C17"/>
    <w:rsid w:val="009E38BD"/>
    <w:rsid w:val="009F24A6"/>
    <w:rsid w:val="009F37DD"/>
    <w:rsid w:val="009F3D08"/>
    <w:rsid w:val="009F5103"/>
    <w:rsid w:val="009F732D"/>
    <w:rsid w:val="00A05FD6"/>
    <w:rsid w:val="00A06E60"/>
    <w:rsid w:val="00A309A6"/>
    <w:rsid w:val="00A3245A"/>
    <w:rsid w:val="00A3525D"/>
    <w:rsid w:val="00A36526"/>
    <w:rsid w:val="00A378BD"/>
    <w:rsid w:val="00A414C2"/>
    <w:rsid w:val="00A47454"/>
    <w:rsid w:val="00A6059F"/>
    <w:rsid w:val="00A67ACB"/>
    <w:rsid w:val="00A70877"/>
    <w:rsid w:val="00A80BB2"/>
    <w:rsid w:val="00A901DF"/>
    <w:rsid w:val="00AA31B4"/>
    <w:rsid w:val="00AB1C18"/>
    <w:rsid w:val="00AB509D"/>
    <w:rsid w:val="00AB7B83"/>
    <w:rsid w:val="00AD14C4"/>
    <w:rsid w:val="00AD39FC"/>
    <w:rsid w:val="00B200F9"/>
    <w:rsid w:val="00B37558"/>
    <w:rsid w:val="00B546B2"/>
    <w:rsid w:val="00B57385"/>
    <w:rsid w:val="00B616FC"/>
    <w:rsid w:val="00B66484"/>
    <w:rsid w:val="00B736C4"/>
    <w:rsid w:val="00B769CE"/>
    <w:rsid w:val="00B80876"/>
    <w:rsid w:val="00B95D8B"/>
    <w:rsid w:val="00BB569E"/>
    <w:rsid w:val="00BB5E8D"/>
    <w:rsid w:val="00BC0FB5"/>
    <w:rsid w:val="00BC32BF"/>
    <w:rsid w:val="00BC3DBD"/>
    <w:rsid w:val="00BE3124"/>
    <w:rsid w:val="00BE3F4F"/>
    <w:rsid w:val="00BE6EE6"/>
    <w:rsid w:val="00BF148B"/>
    <w:rsid w:val="00BF395F"/>
    <w:rsid w:val="00BF5D5F"/>
    <w:rsid w:val="00C03F76"/>
    <w:rsid w:val="00C07BCA"/>
    <w:rsid w:val="00C10D2C"/>
    <w:rsid w:val="00C24816"/>
    <w:rsid w:val="00C32A5E"/>
    <w:rsid w:val="00C41829"/>
    <w:rsid w:val="00C467FA"/>
    <w:rsid w:val="00C54689"/>
    <w:rsid w:val="00C5565C"/>
    <w:rsid w:val="00C60297"/>
    <w:rsid w:val="00C662EC"/>
    <w:rsid w:val="00C817F6"/>
    <w:rsid w:val="00C8501D"/>
    <w:rsid w:val="00C8620E"/>
    <w:rsid w:val="00C876F9"/>
    <w:rsid w:val="00C87DED"/>
    <w:rsid w:val="00C93453"/>
    <w:rsid w:val="00CC310E"/>
    <w:rsid w:val="00CC3CA9"/>
    <w:rsid w:val="00CE1635"/>
    <w:rsid w:val="00CE18B2"/>
    <w:rsid w:val="00CF74F1"/>
    <w:rsid w:val="00D20804"/>
    <w:rsid w:val="00D31B87"/>
    <w:rsid w:val="00D44274"/>
    <w:rsid w:val="00D4774B"/>
    <w:rsid w:val="00D500F5"/>
    <w:rsid w:val="00D51A2B"/>
    <w:rsid w:val="00D64B84"/>
    <w:rsid w:val="00D83484"/>
    <w:rsid w:val="00D97407"/>
    <w:rsid w:val="00DB2922"/>
    <w:rsid w:val="00DC1CCE"/>
    <w:rsid w:val="00DC23B4"/>
    <w:rsid w:val="00DC55FA"/>
    <w:rsid w:val="00DD47C0"/>
    <w:rsid w:val="00E01C37"/>
    <w:rsid w:val="00E10781"/>
    <w:rsid w:val="00E11D4D"/>
    <w:rsid w:val="00E136D1"/>
    <w:rsid w:val="00E2314D"/>
    <w:rsid w:val="00E27CAF"/>
    <w:rsid w:val="00E302FE"/>
    <w:rsid w:val="00E379C0"/>
    <w:rsid w:val="00E400F5"/>
    <w:rsid w:val="00E4073B"/>
    <w:rsid w:val="00E46A37"/>
    <w:rsid w:val="00E5101D"/>
    <w:rsid w:val="00E545F1"/>
    <w:rsid w:val="00E5613C"/>
    <w:rsid w:val="00E5741F"/>
    <w:rsid w:val="00E60526"/>
    <w:rsid w:val="00E65EB7"/>
    <w:rsid w:val="00E71059"/>
    <w:rsid w:val="00E7435E"/>
    <w:rsid w:val="00E769F7"/>
    <w:rsid w:val="00E8234A"/>
    <w:rsid w:val="00E87CBC"/>
    <w:rsid w:val="00E91F71"/>
    <w:rsid w:val="00E96F49"/>
    <w:rsid w:val="00EB0BD8"/>
    <w:rsid w:val="00EB489D"/>
    <w:rsid w:val="00EC52D0"/>
    <w:rsid w:val="00F02DA7"/>
    <w:rsid w:val="00F13FAD"/>
    <w:rsid w:val="00F2024F"/>
    <w:rsid w:val="00F24DC1"/>
    <w:rsid w:val="00F53F8A"/>
    <w:rsid w:val="00F55D12"/>
    <w:rsid w:val="00F97975"/>
    <w:rsid w:val="00F97FE3"/>
    <w:rsid w:val="00FA0F63"/>
    <w:rsid w:val="00FA2998"/>
    <w:rsid w:val="00FB2821"/>
    <w:rsid w:val="00FB5DAF"/>
    <w:rsid w:val="00FC134E"/>
    <w:rsid w:val="00FC326B"/>
    <w:rsid w:val="00FC554D"/>
    <w:rsid w:val="00FC5927"/>
    <w:rsid w:val="00FC749D"/>
    <w:rsid w:val="00FD268E"/>
    <w:rsid w:val="00FD2C81"/>
    <w:rsid w:val="00FD62F1"/>
    <w:rsid w:val="00FF2962"/>
    <w:rsid w:val="00FF3D7B"/>
    <w:rsid w:val="1D7D20C7"/>
    <w:rsid w:val="1F4B9AF5"/>
    <w:rsid w:val="20710EDB"/>
    <w:rsid w:val="418333C0"/>
    <w:rsid w:val="42423194"/>
    <w:rsid w:val="4654832F"/>
    <w:rsid w:val="4C51B568"/>
    <w:rsid w:val="5BC7E1DE"/>
    <w:rsid w:val="60ED1AFF"/>
    <w:rsid w:val="6B42B45C"/>
    <w:rsid w:val="73BE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DFE8"/>
  <w15:docId w15:val="{084A86E0-215E-4B64-B57C-9194B05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D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6095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0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240" w:hanging="240"/>
    </w:pPr>
  </w:style>
  <w:style w:type="paragraph" w:styleId="TDC3">
    <w:name w:val="toc 3"/>
    <w:basedOn w:val="Normal"/>
    <w:next w:val="Normal"/>
    <w:autoRedefine/>
    <w:uiPriority w:val="39"/>
    <w:unhideWhenUsed/>
    <w:rsid w:val="0071609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70DE-F3DF-4D3A-A406-9889A3F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2147</Words>
  <Characters>11814</Characters>
  <Application>Microsoft Office Word</Application>
  <DocSecurity>0</DocSecurity>
  <Lines>98</Lines>
  <Paragraphs>27</Paragraphs>
  <ScaleCrop>false</ScaleCrop>
  <Company>Microsoft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Sandra Moreno</cp:lastModifiedBy>
  <cp:revision>6</cp:revision>
  <dcterms:created xsi:type="dcterms:W3CDTF">2024-08-09T16:08:00Z</dcterms:created>
  <dcterms:modified xsi:type="dcterms:W3CDTF">2025-02-11T22:28:00Z</dcterms:modified>
</cp:coreProperties>
</file>