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C14D" w14:textId="77777777" w:rsidR="000D6F58" w:rsidRPr="00BE65CC" w:rsidRDefault="000D6F58" w:rsidP="000D6F58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BE65CC">
        <w:rPr>
          <w:rFonts w:ascii="Century Gothic" w:eastAsia="Times New Roman" w:hAnsi="Century Gothic" w:cs="Arial"/>
          <w:b/>
          <w:sz w:val="20"/>
          <w:szCs w:val="20"/>
          <w:lang w:eastAsia="es-ES"/>
        </w:rPr>
        <w:t>PORTADA</w:t>
      </w:r>
    </w:p>
    <w:p w14:paraId="7674A932" w14:textId="77777777" w:rsidR="000D6F58" w:rsidRPr="00BE65CC" w:rsidRDefault="000D6F58" w:rsidP="000D6F5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920"/>
      </w:tblGrid>
      <w:tr w:rsidR="00FB0573" w:rsidRPr="00BE65CC" w14:paraId="64C2D0AE" w14:textId="77777777" w:rsidTr="005A4A37">
        <w:trPr>
          <w:cantSplit/>
          <w:trHeight w:val="296"/>
        </w:trPr>
        <w:tc>
          <w:tcPr>
            <w:tcW w:w="1890" w:type="dxa"/>
            <w:shd w:val="pct10" w:color="000000" w:fill="FFFFFF"/>
            <w:vAlign w:val="center"/>
          </w:tcPr>
          <w:p w14:paraId="748BD7AD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920" w:type="dxa"/>
            <w:shd w:val="pct10" w:color="000000" w:fill="FFFFFF"/>
            <w:vAlign w:val="center"/>
          </w:tcPr>
          <w:p w14:paraId="33DDF312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FB0573" w:rsidRPr="00BE65CC" w14:paraId="0C709E9C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20CC8691" w14:textId="77777777" w:rsidR="000F4172" w:rsidRPr="00BE65CC" w:rsidRDefault="000F4172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920" w:type="dxa"/>
            <w:vAlign w:val="center"/>
          </w:tcPr>
          <w:p w14:paraId="61533CF8" w14:textId="77777777" w:rsidR="000F4172" w:rsidRPr="00BE65CC" w:rsidRDefault="000F4172" w:rsidP="005A4A3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Lanzamiento</w:t>
            </w:r>
          </w:p>
          <w:p w14:paraId="5156DD32" w14:textId="73C9A648" w:rsidR="00BE65CC" w:rsidRPr="00BE65CC" w:rsidRDefault="00BE65CC" w:rsidP="005A4A3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10 de junio de 2019</w:t>
            </w:r>
          </w:p>
        </w:tc>
      </w:tr>
      <w:tr w:rsidR="00CA4E57" w:rsidRPr="00BE65CC" w14:paraId="41BADA61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1ABC9A50" w14:textId="385890A8" w:rsidR="00CA4E57" w:rsidRPr="00BE65CC" w:rsidRDefault="00CA4E57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920" w:type="dxa"/>
            <w:vAlign w:val="center"/>
          </w:tcPr>
          <w:p w14:paraId="6106453D" w14:textId="77777777" w:rsidR="00CA4E57" w:rsidRDefault="008A0769" w:rsidP="005A4A3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11 de febrero de 2025</w:t>
            </w:r>
          </w:p>
          <w:p w14:paraId="22B2E2D1" w14:textId="4C8304B0" w:rsidR="008A0769" w:rsidRPr="000936A6" w:rsidRDefault="008A0769" w:rsidP="005A4A3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0936A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Actualización de logo.</w:t>
            </w:r>
          </w:p>
          <w:p w14:paraId="5078B4BF" w14:textId="75145ACE" w:rsidR="008A0769" w:rsidRPr="00BE65CC" w:rsidRDefault="008A0769" w:rsidP="005A4A3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 w:rsidRPr="000936A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de nombre de </w:t>
            </w:r>
            <w:r w:rsidR="002B5C70" w:rsidRPr="000936A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ítem</w:t>
            </w:r>
            <w:r w:rsidRPr="000936A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</w:t>
            </w:r>
            <w:r w:rsidR="00BC4553" w:rsidRPr="000936A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Revisó.</w:t>
            </w:r>
          </w:p>
        </w:tc>
      </w:tr>
    </w:tbl>
    <w:p w14:paraId="5781792C" w14:textId="77777777" w:rsidR="000D6F58" w:rsidRDefault="000D6F58" w:rsidP="000D6F5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1D127729" w14:textId="77777777" w:rsidR="00BE65CC" w:rsidRPr="00BE65CC" w:rsidRDefault="00BE65CC" w:rsidP="000D6F5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0"/>
        <w:gridCol w:w="3150"/>
        <w:gridCol w:w="3690"/>
      </w:tblGrid>
      <w:tr w:rsidR="00FB0573" w:rsidRPr="00BE65CC" w14:paraId="74908C8C" w14:textId="77777777" w:rsidTr="005A4A37">
        <w:trPr>
          <w:cantSplit/>
        </w:trPr>
        <w:tc>
          <w:tcPr>
            <w:tcW w:w="2970" w:type="dxa"/>
            <w:shd w:val="pct10" w:color="000000" w:fill="FFFFFF"/>
          </w:tcPr>
          <w:p w14:paraId="68722221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3150" w:type="dxa"/>
            <w:shd w:val="pct10" w:color="000000" w:fill="FFFFFF"/>
          </w:tcPr>
          <w:p w14:paraId="7D943BB4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690" w:type="dxa"/>
            <w:shd w:val="pct10" w:color="000000" w:fill="FFFFFF"/>
          </w:tcPr>
          <w:p w14:paraId="3AC361ED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FB0573" w:rsidRPr="00BE65CC" w14:paraId="0836BAC5" w14:textId="77777777" w:rsidTr="005A4A37">
        <w:trPr>
          <w:cantSplit/>
        </w:trPr>
        <w:tc>
          <w:tcPr>
            <w:tcW w:w="2970" w:type="dxa"/>
            <w:vAlign w:val="center"/>
          </w:tcPr>
          <w:p w14:paraId="686CD3B0" w14:textId="77777777" w:rsidR="000B3F0B" w:rsidRPr="00BE65CC" w:rsidRDefault="002715F0" w:rsidP="000B3F0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</w:pPr>
            <w:r w:rsidRPr="00BE65CC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Nombre:</w:t>
            </w:r>
            <w:r w:rsidRPr="00BE65CC"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  <w:t xml:space="preserve"> </w:t>
            </w:r>
          </w:p>
          <w:p w14:paraId="10A55B1A" w14:textId="77777777" w:rsidR="002715F0" w:rsidRPr="00BE65CC" w:rsidRDefault="009A0F28" w:rsidP="002715F0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</w:pPr>
            <w:r w:rsidRPr="00BE65CC"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  <w:t>Edwin Oswaldo Ramírez Ramírez</w:t>
            </w:r>
          </w:p>
        </w:tc>
        <w:tc>
          <w:tcPr>
            <w:tcW w:w="3150" w:type="dxa"/>
            <w:vAlign w:val="center"/>
          </w:tcPr>
          <w:p w14:paraId="32A4A992" w14:textId="185E67AB" w:rsidR="002715F0" w:rsidRPr="00BE65CC" w:rsidRDefault="00EF7CFF" w:rsidP="000B3F0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</w:pPr>
            <w:r w:rsidRPr="00BE65CC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 xml:space="preserve">Nombre: </w:t>
            </w:r>
            <w:r w:rsidR="002B5C70"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  <w:t>Hernán Julián Diaz</w:t>
            </w:r>
          </w:p>
        </w:tc>
        <w:tc>
          <w:tcPr>
            <w:tcW w:w="3690" w:type="dxa"/>
            <w:vAlign w:val="center"/>
          </w:tcPr>
          <w:p w14:paraId="720A178F" w14:textId="77777777" w:rsidR="002715F0" w:rsidRPr="00BE65CC" w:rsidRDefault="002715F0" w:rsidP="002715F0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</w:pPr>
            <w:r w:rsidRPr="00BE65CC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Nombre:</w:t>
            </w:r>
            <w:r w:rsidRPr="00BE65CC">
              <w:rPr>
                <w:rFonts w:ascii="Century Gothic" w:eastAsia="Times New Roman" w:hAnsi="Century Gothic" w:cs="Tahoma"/>
                <w:sz w:val="20"/>
                <w:szCs w:val="20"/>
                <w:lang w:eastAsia="es-ES"/>
              </w:rPr>
              <w:t xml:space="preserve"> Gratiniano Suarez Suarez</w:t>
            </w:r>
          </w:p>
        </w:tc>
      </w:tr>
      <w:tr w:rsidR="00FB0573" w:rsidRPr="00BE65CC" w14:paraId="4B0801E5" w14:textId="77777777" w:rsidTr="005A4A37">
        <w:trPr>
          <w:cantSplit/>
        </w:trPr>
        <w:tc>
          <w:tcPr>
            <w:tcW w:w="2970" w:type="dxa"/>
            <w:vAlign w:val="center"/>
          </w:tcPr>
          <w:p w14:paraId="36A7C7BF" w14:textId="77777777" w:rsidR="000D6F58" w:rsidRPr="00BE65CC" w:rsidRDefault="000D6F58" w:rsidP="00BE65C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Cargo: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</w:t>
            </w:r>
            <w:r w:rsidR="00F47EF1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Técnico I de contabilidad</w:t>
            </w:r>
          </w:p>
        </w:tc>
        <w:tc>
          <w:tcPr>
            <w:tcW w:w="3150" w:type="dxa"/>
            <w:vAlign w:val="center"/>
          </w:tcPr>
          <w:p w14:paraId="5DA6BC5B" w14:textId="51BE07ED" w:rsidR="000D6F58" w:rsidRPr="00BE65CC" w:rsidRDefault="000D6F58" w:rsidP="00F47EF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Cargo: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</w:t>
            </w:r>
            <w:r w:rsidR="00EF7CFF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Director </w:t>
            </w:r>
            <w:r w:rsidR="00BE65CC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A</w:t>
            </w:r>
            <w:r w:rsidR="00EF7CFF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dministrativo y </w:t>
            </w:r>
            <w:r w:rsidR="00BE65CC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F</w:t>
            </w:r>
            <w:r w:rsidR="00EF7CFF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inanciero</w:t>
            </w:r>
            <w:r w:rsidR="002B5C70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.</w:t>
            </w:r>
          </w:p>
        </w:tc>
        <w:tc>
          <w:tcPr>
            <w:tcW w:w="3690" w:type="dxa"/>
            <w:vAlign w:val="center"/>
          </w:tcPr>
          <w:p w14:paraId="6094E452" w14:textId="77777777" w:rsidR="000D6F58" w:rsidRPr="00BE65CC" w:rsidRDefault="000D6F58" w:rsidP="005A4A37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Cargo: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</w:t>
            </w:r>
            <w:r w:rsidR="001E54BB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Presidente Ejecutivo</w:t>
            </w:r>
          </w:p>
        </w:tc>
      </w:tr>
      <w:tr w:rsidR="00FB0573" w:rsidRPr="00BE65CC" w14:paraId="7F2A81B0" w14:textId="77777777" w:rsidTr="005A4A37">
        <w:trPr>
          <w:cantSplit/>
        </w:trPr>
        <w:tc>
          <w:tcPr>
            <w:tcW w:w="2970" w:type="dxa"/>
            <w:vAlign w:val="center"/>
          </w:tcPr>
          <w:p w14:paraId="0D3D7B72" w14:textId="77777777" w:rsidR="000D6F58" w:rsidRPr="00BE65CC" w:rsidRDefault="000D6F58" w:rsidP="002715F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Fecha: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</w:t>
            </w:r>
            <w:r w:rsidR="00EF7CFF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10 junio de 2019</w:t>
            </w:r>
          </w:p>
        </w:tc>
        <w:tc>
          <w:tcPr>
            <w:tcW w:w="3150" w:type="dxa"/>
            <w:vAlign w:val="center"/>
          </w:tcPr>
          <w:p w14:paraId="0AB5824F" w14:textId="7A3F8BC7" w:rsidR="000D6F58" w:rsidRPr="00BE65CC" w:rsidRDefault="000D6F58" w:rsidP="002715F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Fecha</w:t>
            </w:r>
            <w:r w:rsidR="00EF7CFF"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 xml:space="preserve">: </w:t>
            </w:r>
            <w:r w:rsidR="002B5C70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11 de febrero de 2025</w:t>
            </w:r>
          </w:p>
        </w:tc>
        <w:tc>
          <w:tcPr>
            <w:tcW w:w="3690" w:type="dxa"/>
            <w:vAlign w:val="center"/>
          </w:tcPr>
          <w:p w14:paraId="7054C585" w14:textId="77777777" w:rsidR="000D6F58" w:rsidRPr="00BE65CC" w:rsidRDefault="000D6F58" w:rsidP="002715F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Fecha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: </w:t>
            </w:r>
            <w:r w:rsidR="00EF7CFF"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10 junio de 2019</w:t>
            </w:r>
          </w:p>
        </w:tc>
      </w:tr>
    </w:tbl>
    <w:p w14:paraId="1CBE3F3E" w14:textId="77777777" w:rsidR="000D6F58" w:rsidRDefault="000D6F58" w:rsidP="000D6F5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1B082598" w14:textId="77777777" w:rsidR="007B6207" w:rsidRPr="00BE65CC" w:rsidRDefault="007B6207" w:rsidP="000D6F5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tbl>
      <w:tblPr>
        <w:tblW w:w="5654" w:type="pct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201"/>
        <w:gridCol w:w="824"/>
        <w:gridCol w:w="4049"/>
      </w:tblGrid>
      <w:tr w:rsidR="00FB0573" w:rsidRPr="00BE65CC" w14:paraId="3BE896F3" w14:textId="77777777" w:rsidTr="005A4A37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498CDC34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BE65CC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FB0573" w:rsidRPr="00BE65CC" w14:paraId="7137D73A" w14:textId="77777777" w:rsidTr="005A4A37">
        <w:trPr>
          <w:cantSplit/>
          <w:trHeight w:val="219"/>
        </w:trPr>
        <w:tc>
          <w:tcPr>
            <w:tcW w:w="276" w:type="pct"/>
            <w:shd w:val="clear" w:color="auto" w:fill="E0E0E0"/>
            <w:vAlign w:val="center"/>
          </w:tcPr>
          <w:p w14:paraId="64F3BCDF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87" w:type="pct"/>
            <w:shd w:val="clear" w:color="auto" w:fill="E0E0E0"/>
            <w:vAlign w:val="center"/>
          </w:tcPr>
          <w:p w14:paraId="75A1939F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9" w:type="pct"/>
            <w:shd w:val="clear" w:color="auto" w:fill="E0E0E0"/>
            <w:vAlign w:val="center"/>
          </w:tcPr>
          <w:p w14:paraId="52A92815" w14:textId="77777777" w:rsidR="000D6F58" w:rsidRPr="00BE65CC" w:rsidRDefault="000D6F58" w:rsidP="005A4A3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08" w:type="pct"/>
            <w:shd w:val="clear" w:color="auto" w:fill="E0E0E0"/>
            <w:vAlign w:val="center"/>
          </w:tcPr>
          <w:p w14:paraId="3E738811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FB0573" w:rsidRPr="00BE65CC" w14:paraId="00771468" w14:textId="77777777" w:rsidTr="005A4A37">
        <w:trPr>
          <w:cantSplit/>
          <w:trHeight w:val="281"/>
        </w:trPr>
        <w:tc>
          <w:tcPr>
            <w:tcW w:w="276" w:type="pct"/>
            <w:vAlign w:val="center"/>
          </w:tcPr>
          <w:p w14:paraId="0648D139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2187" w:type="pct"/>
            <w:vAlign w:val="center"/>
          </w:tcPr>
          <w:p w14:paraId="328F22A4" w14:textId="77777777" w:rsidR="000D6F58" w:rsidRPr="00BE65CC" w:rsidRDefault="00D35FBE" w:rsidP="005A4A37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Presidente Ejecutivo</w:t>
            </w:r>
          </w:p>
        </w:tc>
        <w:tc>
          <w:tcPr>
            <w:tcW w:w="429" w:type="pct"/>
            <w:vAlign w:val="center"/>
          </w:tcPr>
          <w:p w14:paraId="3830CA7D" w14:textId="271DAA70" w:rsidR="000D6F58" w:rsidRPr="00BE65CC" w:rsidRDefault="00B50FA7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2108" w:type="pct"/>
            <w:vAlign w:val="center"/>
          </w:tcPr>
          <w:p w14:paraId="42D5003E" w14:textId="77777777" w:rsidR="000D6F58" w:rsidRPr="00BE65CC" w:rsidRDefault="00D35FBE" w:rsidP="005A4A37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Director administrativ</w:t>
            </w:r>
            <w:r w:rsidR="00FD7F24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o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 y financier</w:t>
            </w:r>
            <w:r w:rsidR="00FD7F24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o</w:t>
            </w:r>
          </w:p>
        </w:tc>
      </w:tr>
      <w:tr w:rsidR="00FB0573" w:rsidRPr="00BE65CC" w14:paraId="37D8F332" w14:textId="77777777" w:rsidTr="005A4A37">
        <w:trPr>
          <w:cantSplit/>
          <w:trHeight w:val="281"/>
        </w:trPr>
        <w:tc>
          <w:tcPr>
            <w:tcW w:w="276" w:type="pct"/>
            <w:vAlign w:val="center"/>
          </w:tcPr>
          <w:p w14:paraId="73569100" w14:textId="77777777" w:rsidR="000D6F58" w:rsidRPr="00BE65CC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2187" w:type="pct"/>
            <w:vAlign w:val="center"/>
          </w:tcPr>
          <w:p w14:paraId="5B05A82F" w14:textId="77777777" w:rsidR="000D6F58" w:rsidRPr="00BE65CC" w:rsidRDefault="00120C61" w:rsidP="00120C61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Oficina Jurídica</w:t>
            </w:r>
          </w:p>
        </w:tc>
        <w:tc>
          <w:tcPr>
            <w:tcW w:w="429" w:type="pct"/>
            <w:vAlign w:val="center"/>
          </w:tcPr>
          <w:p w14:paraId="0311E9C5" w14:textId="3820607B" w:rsidR="000D6F58" w:rsidRPr="00BE65CC" w:rsidRDefault="00B50FA7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2108" w:type="pct"/>
            <w:vAlign w:val="center"/>
          </w:tcPr>
          <w:p w14:paraId="6141E41C" w14:textId="77777777" w:rsidR="000D6F58" w:rsidRPr="00BE65CC" w:rsidRDefault="00120C61" w:rsidP="005A4A37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Coordinadora Financiera</w:t>
            </w:r>
          </w:p>
        </w:tc>
      </w:tr>
      <w:tr w:rsidR="00FB0573" w:rsidRPr="00BE65CC" w14:paraId="33D4BA1D" w14:textId="77777777" w:rsidTr="005A4A37">
        <w:trPr>
          <w:cantSplit/>
          <w:trHeight w:val="281"/>
        </w:trPr>
        <w:tc>
          <w:tcPr>
            <w:tcW w:w="276" w:type="pct"/>
            <w:vAlign w:val="center"/>
          </w:tcPr>
          <w:p w14:paraId="18F69AA9" w14:textId="77777777" w:rsidR="00120C61" w:rsidRPr="00BE65CC" w:rsidRDefault="00120C61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2187" w:type="pct"/>
            <w:vAlign w:val="center"/>
          </w:tcPr>
          <w:p w14:paraId="47980289" w14:textId="77777777" w:rsidR="00120C61" w:rsidRPr="00BE65CC" w:rsidRDefault="00120C61" w:rsidP="00120C61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Técnico I de Contabilidad</w:t>
            </w:r>
          </w:p>
        </w:tc>
        <w:tc>
          <w:tcPr>
            <w:tcW w:w="429" w:type="pct"/>
            <w:vAlign w:val="center"/>
          </w:tcPr>
          <w:p w14:paraId="2DA62401" w14:textId="77777777" w:rsidR="00120C61" w:rsidRPr="00BE65CC" w:rsidRDefault="00120C61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2108" w:type="pct"/>
            <w:vAlign w:val="center"/>
          </w:tcPr>
          <w:p w14:paraId="59BFF2DC" w14:textId="77777777" w:rsidR="00120C61" w:rsidRPr="00BE65CC" w:rsidRDefault="00120C61" w:rsidP="005A4A37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</w:p>
        </w:tc>
      </w:tr>
    </w:tbl>
    <w:p w14:paraId="02F4BC5C" w14:textId="77777777" w:rsidR="005E4FC4" w:rsidRPr="00BE65CC" w:rsidRDefault="005E4FC4">
      <w:pPr>
        <w:rPr>
          <w:rFonts w:ascii="Century Gothic" w:hAnsi="Century Gothic" w:cs="Arial"/>
          <w:sz w:val="20"/>
          <w:szCs w:val="20"/>
        </w:rPr>
      </w:pPr>
    </w:p>
    <w:p w14:paraId="01EAD664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292F59F4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189AA2C8" w14:textId="77777777" w:rsidR="005E4FC4" w:rsidRPr="00BE65CC" w:rsidRDefault="005E4FC4">
      <w:pPr>
        <w:rPr>
          <w:rFonts w:ascii="Century Gothic" w:hAnsi="Century Gothic" w:cs="Arial"/>
          <w:sz w:val="20"/>
          <w:szCs w:val="20"/>
        </w:rPr>
      </w:pPr>
    </w:p>
    <w:p w14:paraId="7F6386E1" w14:textId="77777777" w:rsidR="000D6F58" w:rsidRPr="00BE65CC" w:rsidRDefault="000D6F58">
      <w:pPr>
        <w:rPr>
          <w:rFonts w:ascii="Century Gothic" w:hAnsi="Century Gothic" w:cs="Arial"/>
          <w:sz w:val="20"/>
          <w:szCs w:val="20"/>
        </w:rPr>
      </w:pPr>
    </w:p>
    <w:p w14:paraId="283A56BB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611E1A79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5AEA8C4A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7314E825" w14:textId="77777777" w:rsidR="00D35FBE" w:rsidRDefault="00D35FBE">
      <w:pPr>
        <w:rPr>
          <w:rFonts w:ascii="Century Gothic" w:hAnsi="Century Gothic" w:cs="Arial"/>
          <w:sz w:val="20"/>
          <w:szCs w:val="20"/>
        </w:rPr>
      </w:pPr>
    </w:p>
    <w:p w14:paraId="041AB78D" w14:textId="77777777" w:rsidR="00BE65CC" w:rsidRPr="00BE65CC" w:rsidRDefault="00BE65CC">
      <w:pPr>
        <w:rPr>
          <w:rFonts w:ascii="Century Gothic" w:hAnsi="Century Gothic" w:cs="Arial"/>
          <w:sz w:val="20"/>
          <w:szCs w:val="20"/>
        </w:rPr>
      </w:pPr>
    </w:p>
    <w:p w14:paraId="1000431D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751B6D6C" w14:textId="77777777" w:rsidR="00D35FBE" w:rsidRDefault="00D35FBE">
      <w:pPr>
        <w:rPr>
          <w:rFonts w:ascii="Century Gothic" w:hAnsi="Century Gothic" w:cs="Arial"/>
          <w:sz w:val="20"/>
          <w:szCs w:val="20"/>
        </w:rPr>
      </w:pPr>
    </w:p>
    <w:p w14:paraId="3841C9C9" w14:textId="77777777" w:rsidR="00BE65CC" w:rsidRPr="00BE65CC" w:rsidRDefault="00BE65CC">
      <w:pPr>
        <w:rPr>
          <w:rFonts w:ascii="Century Gothic" w:hAnsi="Century Gothic" w:cs="Arial"/>
          <w:sz w:val="20"/>
          <w:szCs w:val="20"/>
        </w:rPr>
      </w:pPr>
    </w:p>
    <w:p w14:paraId="4EE7001B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0EFBEEB8" w14:textId="77777777" w:rsidR="007B78AC" w:rsidRPr="00BE65CC" w:rsidRDefault="007B78AC">
      <w:pPr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br w:type="page"/>
      </w:r>
    </w:p>
    <w:sdt>
      <w:sdtPr>
        <w:rPr>
          <w:rFonts w:ascii="Century Gothic" w:eastAsiaTheme="minorHAnsi" w:hAnsi="Century Gothic" w:cstheme="minorBidi"/>
          <w:color w:val="auto"/>
          <w:sz w:val="20"/>
          <w:szCs w:val="20"/>
          <w:lang w:val="es-ES" w:eastAsia="en-US"/>
        </w:rPr>
        <w:id w:val="904643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01B353" w14:textId="77777777" w:rsidR="007B78AC" w:rsidRPr="00BE65CC" w:rsidRDefault="007B78AC">
          <w:pPr>
            <w:pStyle w:val="TtuloTDC"/>
            <w:rPr>
              <w:rFonts w:ascii="Century Gothic" w:hAnsi="Century Gothic"/>
              <w:color w:val="auto"/>
              <w:sz w:val="20"/>
              <w:szCs w:val="20"/>
            </w:rPr>
          </w:pPr>
          <w:r w:rsidRPr="00BE65CC">
            <w:rPr>
              <w:rFonts w:ascii="Century Gothic" w:hAnsi="Century Gothic"/>
              <w:color w:val="auto"/>
              <w:sz w:val="20"/>
              <w:szCs w:val="20"/>
              <w:lang w:val="es-ES"/>
            </w:rPr>
            <w:t>Contenido</w:t>
          </w:r>
        </w:p>
        <w:p w14:paraId="464976FB" w14:textId="77777777" w:rsidR="004F5CE3" w:rsidRPr="00BE65CC" w:rsidRDefault="007B78AC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r w:rsidRPr="00BE65CC">
            <w:rPr>
              <w:rFonts w:ascii="Century Gothic" w:hAnsi="Century Gothic"/>
              <w:b/>
              <w:bCs/>
              <w:sz w:val="20"/>
              <w:szCs w:val="20"/>
            </w:rPr>
            <w:fldChar w:fldCharType="begin"/>
          </w:r>
          <w:r w:rsidRPr="00BE65CC">
            <w:rPr>
              <w:rFonts w:ascii="Century Gothic" w:hAnsi="Century Gothic"/>
              <w:b/>
              <w:bCs/>
              <w:sz w:val="20"/>
              <w:szCs w:val="20"/>
            </w:rPr>
            <w:instrText xml:space="preserve"> TOC \o "1-3" \h \z \u </w:instrText>
          </w:r>
          <w:r w:rsidRPr="00BE65CC">
            <w:rPr>
              <w:rFonts w:ascii="Century Gothic" w:hAnsi="Century Gothic"/>
              <w:b/>
              <w:bCs/>
              <w:sz w:val="20"/>
              <w:szCs w:val="20"/>
            </w:rPr>
            <w:fldChar w:fldCharType="separate"/>
          </w:r>
          <w:hyperlink w:anchor="_Toc531898531" w:history="1">
            <w:r w:rsidR="004F5CE3"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1.</w:t>
            </w:r>
            <w:r w:rsidR="004F5CE3"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="004F5CE3"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INTRODUCCION</w:t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_Toc531898531 \h </w:instrText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="004F5CE3"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665088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2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2.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OBJETIVOS DEL MANUAL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_Toc531898532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2C209C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3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3.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ALCANCE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_Toc531898533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EBEB26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4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4.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REFERENCIAS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_Toc531898534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A8C8A1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5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5.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RESPONSABLES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_Toc531898535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258854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6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6.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TÉRMINOS Y DEFINICIONES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_Toc531898536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3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EBCF10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7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7.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DOCUMENTOS DE REFERENCIA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_Toc531898537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5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737CC5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8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8.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DESCRIPCION DE ACTIVIDADES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_Toc531898538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5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8650E1" w14:textId="77777777" w:rsidR="004F5CE3" w:rsidRPr="00BE65CC" w:rsidRDefault="004F5CE3">
          <w:pPr>
            <w:pStyle w:val="TDC1"/>
            <w:tabs>
              <w:tab w:val="left" w:pos="44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39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9.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POLÍTICAS PARA LA GESTIÓN DE CUENTAS POR PAGAR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_Toc531898539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7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D9B43C" w14:textId="77777777" w:rsidR="004F5CE3" w:rsidRPr="00BE65CC" w:rsidRDefault="004F5CE3">
          <w:pPr>
            <w:pStyle w:val="TDC1"/>
            <w:tabs>
              <w:tab w:val="left" w:pos="66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40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10.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NORMATIVIDAD VIGENTE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_Toc531898540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8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E43C3C" w14:textId="77777777" w:rsidR="004F5CE3" w:rsidRPr="00BE65CC" w:rsidRDefault="004F5CE3">
          <w:pPr>
            <w:pStyle w:val="TDC1"/>
            <w:tabs>
              <w:tab w:val="left" w:pos="660"/>
              <w:tab w:val="right" w:leader="dot" w:pos="8494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CO" w:eastAsia="es-CO"/>
            </w:rPr>
          </w:pPr>
          <w:hyperlink w:anchor="_Toc531898541" w:history="1"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11.</w:t>
            </w:r>
            <w:r w:rsidRPr="00BE65CC">
              <w:rPr>
                <w:rFonts w:ascii="Century Gothic" w:eastAsiaTheme="minorEastAsia" w:hAnsi="Century Gothic"/>
                <w:noProof/>
                <w:sz w:val="20"/>
                <w:szCs w:val="20"/>
                <w:lang w:val="es-CO" w:eastAsia="es-CO"/>
              </w:rPr>
              <w:tab/>
            </w:r>
            <w:r w:rsidRPr="00BE65CC">
              <w:rPr>
                <w:rStyle w:val="Hipervnculo"/>
                <w:rFonts w:ascii="Century Gothic" w:hAnsi="Century Gothic"/>
                <w:noProof/>
                <w:color w:val="auto"/>
                <w:sz w:val="20"/>
                <w:szCs w:val="20"/>
              </w:rPr>
              <w:t>FORMATOS Y/O DOCUMENTOS UTILIZADOS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_Toc531898541 \h </w:instrTex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t>8</w:t>
            </w:r>
            <w:r w:rsidRPr="00BE65CC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E7ACDB" w14:textId="77777777" w:rsidR="007B78AC" w:rsidRPr="00BE65CC" w:rsidRDefault="007B78AC">
          <w:pPr>
            <w:rPr>
              <w:rFonts w:ascii="Century Gothic" w:hAnsi="Century Gothic"/>
              <w:sz w:val="20"/>
              <w:szCs w:val="20"/>
            </w:rPr>
          </w:pPr>
          <w:r w:rsidRPr="00BE65CC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</w:p>
      </w:sdtContent>
    </w:sdt>
    <w:p w14:paraId="2EDF05FB" w14:textId="77777777" w:rsidR="00D35FBE" w:rsidRPr="00BE65CC" w:rsidRDefault="00D35FBE">
      <w:pPr>
        <w:rPr>
          <w:rFonts w:ascii="Century Gothic" w:hAnsi="Century Gothic" w:cs="Arial"/>
          <w:sz w:val="20"/>
          <w:szCs w:val="20"/>
        </w:rPr>
      </w:pPr>
    </w:p>
    <w:p w14:paraId="3CF53F68" w14:textId="77777777" w:rsidR="007B78AC" w:rsidRPr="00BE65CC" w:rsidRDefault="007B78AC">
      <w:pPr>
        <w:rPr>
          <w:rFonts w:ascii="Century Gothic" w:hAnsi="Century Gothic" w:cs="Arial"/>
          <w:sz w:val="20"/>
          <w:szCs w:val="20"/>
        </w:rPr>
      </w:pPr>
    </w:p>
    <w:p w14:paraId="278E4EBA" w14:textId="77777777" w:rsidR="005A4A37" w:rsidRPr="00BE65CC" w:rsidRDefault="005A4A37">
      <w:pPr>
        <w:rPr>
          <w:rFonts w:ascii="Century Gothic" w:hAnsi="Century Gothic" w:cs="Arial"/>
          <w:sz w:val="20"/>
          <w:szCs w:val="20"/>
        </w:rPr>
      </w:pPr>
    </w:p>
    <w:p w14:paraId="196EF629" w14:textId="77777777" w:rsidR="008D4668" w:rsidRPr="00BE65CC" w:rsidRDefault="008D4668">
      <w:pPr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br w:type="page"/>
      </w:r>
    </w:p>
    <w:p w14:paraId="50E64C66" w14:textId="77777777" w:rsidR="00196E85" w:rsidRPr="00BE65CC" w:rsidRDefault="00196E85" w:rsidP="00C05A01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0" w:name="_Toc531898531"/>
      <w:r w:rsidRPr="00BE65CC">
        <w:rPr>
          <w:rFonts w:ascii="Century Gothic" w:hAnsi="Century Gothic"/>
          <w:color w:val="auto"/>
          <w:sz w:val="20"/>
          <w:szCs w:val="20"/>
        </w:rPr>
        <w:lastRenderedPageBreak/>
        <w:t>INTRODUCCION</w:t>
      </w:r>
      <w:bookmarkEnd w:id="0"/>
    </w:p>
    <w:p w14:paraId="2E0DC62A" w14:textId="77777777" w:rsidR="000D70A7" w:rsidRPr="00BE65CC" w:rsidRDefault="00CE58D7" w:rsidP="00304AA0">
      <w:pPr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>L</w:t>
      </w:r>
      <w:r w:rsidR="008B0F51" w:rsidRPr="00BE65CC">
        <w:rPr>
          <w:rFonts w:ascii="Century Gothic" w:hAnsi="Century Gothic" w:cs="Arial"/>
          <w:sz w:val="20"/>
          <w:szCs w:val="20"/>
        </w:rPr>
        <w:t xml:space="preserve">a </w:t>
      </w:r>
      <w:r w:rsidR="000D70A7" w:rsidRPr="00BE65CC">
        <w:rPr>
          <w:rFonts w:ascii="Century Gothic" w:hAnsi="Century Gothic" w:cs="Arial"/>
          <w:sz w:val="20"/>
          <w:szCs w:val="20"/>
        </w:rPr>
        <w:t xml:space="preserve">conciliación bancaria consiste en verificar entre las anotaciones contables que se hacen en tesorería como </w:t>
      </w:r>
      <w:r w:rsidRPr="00BE65CC">
        <w:rPr>
          <w:rFonts w:ascii="Century Gothic" w:hAnsi="Century Gothic" w:cs="Arial"/>
          <w:sz w:val="20"/>
          <w:szCs w:val="20"/>
        </w:rPr>
        <w:t xml:space="preserve">el área contable </w:t>
      </w:r>
      <w:r w:rsidR="000D70A7" w:rsidRPr="00BE65CC">
        <w:rPr>
          <w:rFonts w:ascii="Century Gothic" w:hAnsi="Century Gothic" w:cs="Arial"/>
          <w:sz w:val="20"/>
          <w:szCs w:val="20"/>
        </w:rPr>
        <w:t xml:space="preserve">y las constancias que surgen en los resúmenes mensuales que da el </w:t>
      </w:r>
      <w:r w:rsidRPr="00BE65CC">
        <w:rPr>
          <w:rFonts w:ascii="Century Gothic" w:hAnsi="Century Gothic" w:cs="Arial"/>
          <w:sz w:val="20"/>
          <w:szCs w:val="20"/>
        </w:rPr>
        <w:t>banco con el extracto</w:t>
      </w:r>
      <w:r w:rsidR="000D70A7" w:rsidRPr="00BE65CC">
        <w:rPr>
          <w:rFonts w:ascii="Century Gothic" w:hAnsi="Century Gothic" w:cs="Arial"/>
          <w:sz w:val="20"/>
          <w:szCs w:val="20"/>
        </w:rPr>
        <w:t>.</w:t>
      </w:r>
    </w:p>
    <w:p w14:paraId="6177FC51" w14:textId="77777777" w:rsidR="00EB4586" w:rsidRPr="00BE65CC" w:rsidRDefault="000D70A7" w:rsidP="00304AA0">
      <w:pPr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 xml:space="preserve">Efectuando </w:t>
      </w:r>
      <w:r w:rsidR="00177AB3" w:rsidRPr="00BE65CC">
        <w:rPr>
          <w:rFonts w:ascii="Century Gothic" w:hAnsi="Century Gothic" w:cs="Arial"/>
          <w:sz w:val="20"/>
          <w:szCs w:val="20"/>
        </w:rPr>
        <w:t>la verificación</w:t>
      </w:r>
      <w:r w:rsidRPr="00BE65CC">
        <w:rPr>
          <w:rFonts w:ascii="Century Gothic" w:hAnsi="Century Gothic" w:cs="Arial"/>
          <w:sz w:val="20"/>
          <w:szCs w:val="20"/>
        </w:rPr>
        <w:t xml:space="preserve"> mediante un ejercicio de control basado en la opción de cruzar </w:t>
      </w:r>
      <w:r w:rsidR="00CE58D7" w:rsidRPr="00BE65CC">
        <w:rPr>
          <w:rFonts w:ascii="Century Gothic" w:hAnsi="Century Gothic" w:cs="Arial"/>
          <w:sz w:val="20"/>
          <w:szCs w:val="20"/>
        </w:rPr>
        <w:t>valore</w:t>
      </w:r>
      <w:r w:rsidR="00177AB3" w:rsidRPr="00BE65CC">
        <w:rPr>
          <w:rFonts w:ascii="Century Gothic" w:hAnsi="Century Gothic" w:cs="Arial"/>
          <w:sz w:val="20"/>
          <w:szCs w:val="20"/>
        </w:rPr>
        <w:t>s</w:t>
      </w:r>
      <w:r w:rsidR="00CE58D7" w:rsidRPr="00BE65CC">
        <w:rPr>
          <w:rFonts w:ascii="Century Gothic" w:hAnsi="Century Gothic" w:cs="Arial"/>
          <w:sz w:val="20"/>
          <w:szCs w:val="20"/>
        </w:rPr>
        <w:t xml:space="preserve">, </w:t>
      </w:r>
      <w:r w:rsidR="00177AB3" w:rsidRPr="00BE65CC">
        <w:rPr>
          <w:rFonts w:ascii="Century Gothic" w:hAnsi="Century Gothic" w:cs="Arial"/>
          <w:sz w:val="20"/>
          <w:szCs w:val="20"/>
        </w:rPr>
        <w:t xml:space="preserve">comprobando </w:t>
      </w:r>
      <w:r w:rsidRPr="00BE65CC">
        <w:rPr>
          <w:rFonts w:ascii="Century Gothic" w:hAnsi="Century Gothic" w:cs="Arial"/>
          <w:sz w:val="20"/>
          <w:szCs w:val="20"/>
        </w:rPr>
        <w:t>que</w:t>
      </w:r>
      <w:r w:rsidR="00177AB3" w:rsidRPr="00BE65CC">
        <w:rPr>
          <w:rFonts w:ascii="Century Gothic" w:hAnsi="Century Gothic" w:cs="Arial"/>
          <w:sz w:val="20"/>
          <w:szCs w:val="20"/>
        </w:rPr>
        <w:t xml:space="preserve"> lo</w:t>
      </w:r>
      <w:r w:rsidRPr="00BE65CC">
        <w:rPr>
          <w:rFonts w:ascii="Century Gothic" w:hAnsi="Century Gothic" w:cs="Arial"/>
          <w:sz w:val="20"/>
          <w:szCs w:val="20"/>
        </w:rPr>
        <w:t xml:space="preserve"> </w:t>
      </w:r>
      <w:r w:rsidR="00177AB3" w:rsidRPr="00BE65CC">
        <w:rPr>
          <w:rFonts w:ascii="Century Gothic" w:hAnsi="Century Gothic" w:cs="Arial"/>
          <w:sz w:val="20"/>
          <w:szCs w:val="20"/>
        </w:rPr>
        <w:t>que esté</w:t>
      </w:r>
      <w:r w:rsidRPr="00BE65CC">
        <w:rPr>
          <w:rFonts w:ascii="Century Gothic" w:hAnsi="Century Gothic" w:cs="Arial"/>
          <w:sz w:val="20"/>
          <w:szCs w:val="20"/>
        </w:rPr>
        <w:t xml:space="preserve"> en caja debe ser igual a lo que este en bancos y las diferencias quedan registradas en el formato indicado por el área </w:t>
      </w:r>
      <w:r w:rsidR="00177AB3" w:rsidRPr="00BE65CC">
        <w:rPr>
          <w:rFonts w:ascii="Century Gothic" w:hAnsi="Century Gothic" w:cs="Arial"/>
          <w:sz w:val="20"/>
          <w:szCs w:val="20"/>
        </w:rPr>
        <w:t>contable, de este modo atenúan</w:t>
      </w:r>
      <w:r w:rsidR="00304AA0" w:rsidRPr="00BE65CC">
        <w:rPr>
          <w:rFonts w:ascii="Century Gothic" w:hAnsi="Century Gothic" w:cs="Arial"/>
          <w:sz w:val="20"/>
          <w:szCs w:val="20"/>
        </w:rPr>
        <w:t xml:space="preserve"> el riesgo de ausencia de pago, pago duplicado o monto equivocado, contar con información en forma oportuna y con un registro contable correcto. Las políticas y el manual de procedimientos y actividades de control interno, se encuentran alineadas con las políticas Generales de la</w:t>
      </w:r>
      <w:r w:rsidR="00FF349C" w:rsidRPr="00BE65CC">
        <w:rPr>
          <w:rFonts w:ascii="Century Gothic" w:hAnsi="Century Gothic" w:cs="Arial"/>
          <w:sz w:val="20"/>
          <w:szCs w:val="20"/>
        </w:rPr>
        <w:t xml:space="preserve"> entidad.</w:t>
      </w:r>
    </w:p>
    <w:p w14:paraId="53179F11" w14:textId="77777777" w:rsidR="00FF349C" w:rsidRPr="00BE65CC" w:rsidRDefault="00FF349C" w:rsidP="00304AA0">
      <w:pPr>
        <w:jc w:val="both"/>
        <w:rPr>
          <w:rFonts w:ascii="Century Gothic" w:hAnsi="Century Gothic" w:cs="Arial"/>
          <w:sz w:val="20"/>
          <w:szCs w:val="20"/>
        </w:rPr>
      </w:pPr>
    </w:p>
    <w:p w14:paraId="4C3E41BE" w14:textId="77777777" w:rsidR="000B3F0B" w:rsidRPr="00BE65CC" w:rsidRDefault="005E4FC4" w:rsidP="000B3F0B">
      <w:pPr>
        <w:pStyle w:val="Ttulo1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bookmarkStart w:id="1" w:name="_Toc531898532"/>
      <w:r w:rsidRPr="00BE65CC">
        <w:rPr>
          <w:rFonts w:ascii="Century Gothic" w:hAnsi="Century Gothic"/>
          <w:color w:val="auto"/>
          <w:sz w:val="20"/>
          <w:szCs w:val="20"/>
        </w:rPr>
        <w:t>OBJETIVO</w:t>
      </w:r>
      <w:r w:rsidR="00E910EE" w:rsidRPr="00BE65CC">
        <w:rPr>
          <w:rFonts w:ascii="Century Gothic" w:hAnsi="Century Gothic"/>
          <w:color w:val="auto"/>
          <w:sz w:val="20"/>
          <w:szCs w:val="20"/>
        </w:rPr>
        <w:t>S DEL MANUAL</w:t>
      </w:r>
      <w:bookmarkEnd w:id="1"/>
    </w:p>
    <w:p w14:paraId="0B6CE573" w14:textId="77777777" w:rsidR="009A0F28" w:rsidRPr="00BE65CC" w:rsidRDefault="009A0F28" w:rsidP="009A0F28">
      <w:pPr>
        <w:rPr>
          <w:rFonts w:ascii="Century Gothic" w:hAnsi="Century Gothic"/>
          <w:sz w:val="20"/>
          <w:szCs w:val="20"/>
          <w:lang w:eastAsia="zh-TW"/>
        </w:rPr>
      </w:pPr>
    </w:p>
    <w:p w14:paraId="6BAB34EE" w14:textId="77777777" w:rsidR="004101BE" w:rsidRPr="00BE65CC" w:rsidRDefault="000B3F0B" w:rsidP="00963134">
      <w:pPr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CO" w:eastAsia="es-CO"/>
        </w:rPr>
      </w:pPr>
      <w:r w:rsidRPr="00BE65CC">
        <w:rPr>
          <w:rFonts w:ascii="Century Gothic" w:eastAsia="Times New Roman" w:hAnsi="Century Gothic" w:cs="Arial"/>
          <w:sz w:val="20"/>
          <w:szCs w:val="20"/>
          <w:lang w:val="es-CO" w:eastAsia="es-CO"/>
        </w:rPr>
        <w:t xml:space="preserve">Confrontar las partidas de los libros contables con el extracto bancario, </w:t>
      </w:r>
      <w:r w:rsidR="00DA4FB5" w:rsidRPr="00BE65CC">
        <w:rPr>
          <w:rFonts w:ascii="Century Gothic" w:eastAsia="Times New Roman" w:hAnsi="Century Gothic" w:cs="Arial"/>
          <w:sz w:val="20"/>
          <w:szCs w:val="20"/>
          <w:lang w:val="es-CO" w:eastAsia="es-CO"/>
        </w:rPr>
        <w:t>e identifica</w:t>
      </w:r>
      <w:r w:rsidRPr="00BE65CC">
        <w:rPr>
          <w:rFonts w:ascii="Century Gothic" w:eastAsia="Times New Roman" w:hAnsi="Century Gothic" w:cs="Arial"/>
          <w:sz w:val="20"/>
          <w:szCs w:val="20"/>
          <w:lang w:val="es-CO" w:eastAsia="es-CO"/>
        </w:rPr>
        <w:t xml:space="preserve"> las diferencias </w:t>
      </w:r>
      <w:r w:rsidR="004101BE" w:rsidRPr="00BE65CC">
        <w:rPr>
          <w:rFonts w:ascii="Century Gothic" w:eastAsia="Times New Roman" w:hAnsi="Century Gothic" w:cs="Arial"/>
          <w:sz w:val="20"/>
          <w:szCs w:val="20"/>
          <w:lang w:val="es-CO" w:eastAsia="es-CO"/>
        </w:rPr>
        <w:t>generadas por los registros de las diferentes transacciones económicas de ingresos y egresos ejecutados por la entidad durante el periodo establecido.</w:t>
      </w:r>
    </w:p>
    <w:p w14:paraId="221A8B98" w14:textId="77777777" w:rsidR="007A6CBB" w:rsidRPr="00BE65CC" w:rsidRDefault="007A6CBB" w:rsidP="0096313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CO" w:eastAsia="es-CO"/>
        </w:rPr>
      </w:pPr>
    </w:p>
    <w:p w14:paraId="6F6A06E1" w14:textId="77777777" w:rsidR="005E4FC4" w:rsidRPr="00BE65CC" w:rsidRDefault="005E4FC4" w:rsidP="007B78AC">
      <w:pPr>
        <w:pStyle w:val="Ttulo1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bookmarkStart w:id="2" w:name="_Toc531898533"/>
      <w:r w:rsidRPr="00BE65CC">
        <w:rPr>
          <w:rFonts w:ascii="Century Gothic" w:hAnsi="Century Gothic"/>
          <w:color w:val="auto"/>
          <w:sz w:val="20"/>
          <w:szCs w:val="20"/>
        </w:rPr>
        <w:t>ALCANCE</w:t>
      </w:r>
      <w:bookmarkEnd w:id="2"/>
      <w:r w:rsidRPr="00BE65CC">
        <w:rPr>
          <w:rFonts w:ascii="Century Gothic" w:hAnsi="Century Gothic"/>
          <w:color w:val="auto"/>
          <w:sz w:val="20"/>
          <w:szCs w:val="20"/>
        </w:rPr>
        <w:t xml:space="preserve">  </w:t>
      </w:r>
    </w:p>
    <w:p w14:paraId="5196DC93" w14:textId="77777777" w:rsidR="009A0F28" w:rsidRPr="00BE65CC" w:rsidRDefault="009A0F28" w:rsidP="00963134">
      <w:pPr>
        <w:spacing w:line="240" w:lineRule="auto"/>
        <w:jc w:val="both"/>
        <w:rPr>
          <w:rFonts w:ascii="Century Gothic" w:eastAsia="Arial" w:hAnsi="Century Gothic" w:cs="Arial"/>
          <w:b/>
          <w:sz w:val="20"/>
          <w:szCs w:val="20"/>
          <w:lang w:eastAsia="zh-TW"/>
        </w:rPr>
      </w:pPr>
    </w:p>
    <w:p w14:paraId="2398D08A" w14:textId="77777777" w:rsidR="007A6CBB" w:rsidRPr="00BE65CC" w:rsidRDefault="00A713BF" w:rsidP="00963134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>Este procedimiento</w:t>
      </w:r>
      <w:r w:rsidR="007A6CBB" w:rsidRPr="00BE65CC">
        <w:rPr>
          <w:rFonts w:ascii="Century Gothic" w:hAnsi="Century Gothic" w:cs="Arial"/>
          <w:sz w:val="20"/>
          <w:szCs w:val="20"/>
        </w:rPr>
        <w:t xml:space="preserve"> se desarrolla en el área contable e inicia con la verificación de saldos del </w:t>
      </w:r>
      <w:r w:rsidRPr="00BE65CC">
        <w:rPr>
          <w:rFonts w:ascii="Century Gothic" w:hAnsi="Century Gothic" w:cs="Arial"/>
          <w:sz w:val="20"/>
          <w:szCs w:val="20"/>
        </w:rPr>
        <w:t xml:space="preserve">extracto bancario y el registro de auxiliar de bancos del programa </w:t>
      </w:r>
      <w:r w:rsidR="00647376" w:rsidRPr="00BE65CC">
        <w:rPr>
          <w:rFonts w:ascii="Century Gothic" w:hAnsi="Century Gothic" w:cs="Arial"/>
          <w:sz w:val="20"/>
          <w:szCs w:val="20"/>
        </w:rPr>
        <w:t>contable</w:t>
      </w:r>
      <w:r w:rsidRPr="00BE65CC">
        <w:rPr>
          <w:rFonts w:ascii="Century Gothic" w:hAnsi="Century Gothic" w:cs="Arial"/>
          <w:sz w:val="20"/>
          <w:szCs w:val="20"/>
        </w:rPr>
        <w:t>, para determinar las diferencias entre saldos, y establecer la part</w:t>
      </w:r>
      <w:r w:rsidR="004101BE" w:rsidRPr="00BE65CC">
        <w:rPr>
          <w:rFonts w:ascii="Century Gothic" w:hAnsi="Century Gothic" w:cs="Arial"/>
          <w:sz w:val="20"/>
          <w:szCs w:val="20"/>
        </w:rPr>
        <w:t>ida como objeto de conciliación para el cierre contable y presentación de ellos.</w:t>
      </w:r>
    </w:p>
    <w:p w14:paraId="38850F81" w14:textId="77777777" w:rsidR="00302554" w:rsidRPr="00BE65CC" w:rsidRDefault="00302554" w:rsidP="00C478C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63B0ABBE" w14:textId="77777777" w:rsidR="00074254" w:rsidRPr="00BE65CC" w:rsidRDefault="00AB3C41" w:rsidP="00074254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3" w:name="_Toc531898535"/>
      <w:r w:rsidRPr="00BE65CC">
        <w:rPr>
          <w:rFonts w:ascii="Century Gothic" w:hAnsi="Century Gothic"/>
          <w:color w:val="auto"/>
          <w:sz w:val="20"/>
          <w:szCs w:val="20"/>
        </w:rPr>
        <w:t>RESPONSABLES</w:t>
      </w:r>
      <w:bookmarkEnd w:id="3"/>
    </w:p>
    <w:p w14:paraId="0BB976BC" w14:textId="77777777" w:rsidR="00DA4FB5" w:rsidRPr="00BE65CC" w:rsidRDefault="00DA4FB5" w:rsidP="00DA4FB5">
      <w:pPr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>La Presidencia Ejecutiva, Directores y Coordinadores de área, son los responsables por la elaboración Ejecución y Control del presupuesto</w:t>
      </w:r>
    </w:p>
    <w:p w14:paraId="650CD48D" w14:textId="77777777" w:rsidR="00BB2D5F" w:rsidRPr="00BE65CC" w:rsidRDefault="00BB2D5F" w:rsidP="00AB3C41">
      <w:pPr>
        <w:jc w:val="both"/>
        <w:rPr>
          <w:rFonts w:ascii="Century Gothic" w:hAnsi="Century Gothic" w:cs="Arial"/>
          <w:sz w:val="20"/>
          <w:szCs w:val="20"/>
        </w:rPr>
      </w:pPr>
    </w:p>
    <w:p w14:paraId="3842FF4A" w14:textId="77777777" w:rsidR="00157E0D" w:rsidRPr="00BE65CC" w:rsidRDefault="007D088E" w:rsidP="00157E0D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4" w:name="_Toc531898536"/>
      <w:r w:rsidRPr="00BE65CC">
        <w:rPr>
          <w:rFonts w:ascii="Century Gothic" w:hAnsi="Century Gothic"/>
          <w:color w:val="auto"/>
          <w:sz w:val="20"/>
          <w:szCs w:val="20"/>
        </w:rPr>
        <w:t xml:space="preserve">TÉRMINOS Y </w:t>
      </w:r>
      <w:r w:rsidR="00AB3C41" w:rsidRPr="00BE65CC">
        <w:rPr>
          <w:rFonts w:ascii="Century Gothic" w:hAnsi="Century Gothic"/>
          <w:color w:val="auto"/>
          <w:sz w:val="20"/>
          <w:szCs w:val="20"/>
        </w:rPr>
        <w:t>DEFINICIONES</w:t>
      </w:r>
      <w:bookmarkEnd w:id="4"/>
    </w:p>
    <w:p w14:paraId="7D487A18" w14:textId="77777777" w:rsidR="00157E0D" w:rsidRPr="00BE65CC" w:rsidRDefault="00157E0D" w:rsidP="008B0A22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b/>
          <w:sz w:val="20"/>
          <w:szCs w:val="20"/>
        </w:rPr>
        <w:t xml:space="preserve">Conciliación: </w:t>
      </w:r>
      <w:r w:rsidRPr="00BE65CC">
        <w:rPr>
          <w:rFonts w:ascii="Century Gothic" w:hAnsi="Century Gothic" w:cs="Arial"/>
          <w:sz w:val="20"/>
          <w:szCs w:val="20"/>
        </w:rPr>
        <w:t>Es la comparación de la información contable, con la de otros procesos o entidades</w:t>
      </w:r>
      <w:r w:rsidR="00A1672D" w:rsidRPr="00BE65CC">
        <w:rPr>
          <w:rFonts w:ascii="Century Gothic" w:hAnsi="Century Gothic" w:cs="Arial"/>
          <w:sz w:val="20"/>
          <w:szCs w:val="20"/>
        </w:rPr>
        <w:t>, con el fin de identificar</w:t>
      </w:r>
      <w:r w:rsidRPr="00BE65CC">
        <w:rPr>
          <w:rFonts w:ascii="Century Gothic" w:hAnsi="Century Gothic" w:cs="Arial"/>
          <w:sz w:val="20"/>
          <w:szCs w:val="20"/>
        </w:rPr>
        <w:t xml:space="preserve"> diferencias.</w:t>
      </w:r>
    </w:p>
    <w:p w14:paraId="6080DE1B" w14:textId="77777777" w:rsidR="00556624" w:rsidRPr="00BE65CC" w:rsidRDefault="00556624" w:rsidP="00556624">
      <w:pPr>
        <w:pStyle w:val="Prrafodelista"/>
        <w:spacing w:after="0"/>
        <w:ind w:left="1080"/>
        <w:jc w:val="both"/>
        <w:rPr>
          <w:rFonts w:ascii="Century Gothic" w:hAnsi="Century Gothic" w:cs="Arial"/>
          <w:sz w:val="20"/>
          <w:szCs w:val="20"/>
        </w:rPr>
      </w:pPr>
    </w:p>
    <w:p w14:paraId="4AD5A785" w14:textId="77777777" w:rsidR="00120EA2" w:rsidRPr="00BE65CC" w:rsidRDefault="00120EA2" w:rsidP="00120EA2">
      <w:pPr>
        <w:pStyle w:val="Prrafodelista"/>
        <w:numPr>
          <w:ilvl w:val="0"/>
          <w:numId w:val="35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b/>
          <w:sz w:val="20"/>
          <w:szCs w:val="20"/>
        </w:rPr>
        <w:t>Conciliación Bancaria:</w:t>
      </w:r>
      <w:r w:rsidRPr="00BE65CC">
        <w:rPr>
          <w:rFonts w:ascii="Century Gothic" w:hAnsi="Century Gothic" w:cs="Arial"/>
          <w:sz w:val="20"/>
          <w:szCs w:val="20"/>
        </w:rPr>
        <w:t xml:space="preserve"> Es un proceso que permite confrontar y conciliar los valores que la entidad tiene registrados en el auxiliar de bancos, de las cuentas corrientes o de ahorros, con los valores que el banco suministra por medio del extracto bancario cada mes.</w:t>
      </w:r>
    </w:p>
    <w:p w14:paraId="018880DF" w14:textId="77777777" w:rsidR="00963134" w:rsidRPr="00BE65CC" w:rsidRDefault="00963134" w:rsidP="00177AB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CC49F89" w14:textId="77777777" w:rsidR="008B0A22" w:rsidRPr="00BE65CC" w:rsidRDefault="00963134" w:rsidP="00157E0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E65CC">
        <w:rPr>
          <w:rFonts w:ascii="Century Gothic" w:hAnsi="Century Gothic" w:cs="Arial"/>
          <w:b/>
          <w:sz w:val="20"/>
          <w:szCs w:val="20"/>
        </w:rPr>
        <w:lastRenderedPageBreak/>
        <w:t>Extracto Bancario</w:t>
      </w:r>
      <w:r w:rsidR="008B0A22" w:rsidRPr="00BE65CC">
        <w:rPr>
          <w:rFonts w:ascii="Century Gothic" w:hAnsi="Century Gothic" w:cs="Arial"/>
          <w:b/>
          <w:sz w:val="20"/>
          <w:szCs w:val="20"/>
        </w:rPr>
        <w:t>:</w:t>
      </w:r>
      <w:r w:rsidR="008B0A22" w:rsidRPr="00BE65CC">
        <w:rPr>
          <w:rFonts w:ascii="Century Gothic" w:hAnsi="Century Gothic" w:cs="Arial"/>
          <w:sz w:val="20"/>
          <w:szCs w:val="20"/>
        </w:rPr>
        <w:t xml:space="preserve"> </w:t>
      </w:r>
      <w:r w:rsidR="00157E0D" w:rsidRPr="00BE65CC">
        <w:rPr>
          <w:rFonts w:ascii="Century Gothic" w:hAnsi="Century Gothic" w:cs="Arial"/>
          <w:sz w:val="20"/>
          <w:szCs w:val="20"/>
        </w:rPr>
        <w:t>Es el informe por parte de la entidad financiera que refleja los movimientos bancarios efectuados en un periodo determinado.</w:t>
      </w:r>
    </w:p>
    <w:p w14:paraId="4E293146" w14:textId="77777777" w:rsidR="00120EA2" w:rsidRPr="00BE65CC" w:rsidRDefault="00120EA2" w:rsidP="00120EA2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1D541C07" w14:textId="77777777" w:rsidR="009F7DA1" w:rsidRPr="00BE65CC" w:rsidRDefault="00120EA2" w:rsidP="001366B9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b/>
          <w:sz w:val="20"/>
          <w:szCs w:val="20"/>
        </w:rPr>
        <w:t>Libro Auxiliar de Bancos</w:t>
      </w:r>
      <w:r w:rsidRPr="00BE65CC">
        <w:rPr>
          <w:rFonts w:ascii="Century Gothic" w:hAnsi="Century Gothic" w:cs="Arial"/>
          <w:sz w:val="20"/>
          <w:szCs w:val="20"/>
        </w:rPr>
        <w:t>: Es el registro de cada uno de los movimientos en la cuenta contable de bancos, como los giros de cheques, consignaciones, notas débito, notas crédito, anulación de cheques, liquidaciones y pagos.</w:t>
      </w:r>
    </w:p>
    <w:p w14:paraId="3EC40AF7" w14:textId="77777777" w:rsidR="001366B9" w:rsidRPr="00BE65CC" w:rsidRDefault="001366B9" w:rsidP="001366B9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1E57815" w14:textId="77777777" w:rsidR="00D35FBE" w:rsidRPr="00BE65CC" w:rsidRDefault="00D35FBE" w:rsidP="007B78AC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5" w:name="_Toc531898537"/>
      <w:r w:rsidRPr="00BE65CC">
        <w:rPr>
          <w:rFonts w:ascii="Century Gothic" w:hAnsi="Century Gothic"/>
          <w:color w:val="auto"/>
          <w:sz w:val="20"/>
          <w:szCs w:val="20"/>
        </w:rPr>
        <w:t>DOCUMENTOS DE REFERENCIA</w:t>
      </w:r>
      <w:bookmarkEnd w:id="5"/>
    </w:p>
    <w:p w14:paraId="5B3C62A4" w14:textId="77777777" w:rsidR="00D35FBE" w:rsidRPr="00BE65CC" w:rsidRDefault="00FC145C" w:rsidP="000D6F58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BE65CC">
        <w:rPr>
          <w:rFonts w:ascii="Century Gothic" w:hAnsi="Century Gothic" w:cs="Arial"/>
        </w:rPr>
        <w:t>Manual de Políticas Contables</w:t>
      </w:r>
    </w:p>
    <w:p w14:paraId="36A12372" w14:textId="77777777" w:rsidR="00FC145C" w:rsidRPr="00BE65CC" w:rsidRDefault="00FC145C" w:rsidP="000D6F58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5ED98C2D" w14:textId="77777777" w:rsidR="008B0A22" w:rsidRPr="00BE65CC" w:rsidRDefault="008B0A22" w:rsidP="000D6F58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5AE38A4A" w14:textId="77777777" w:rsidR="00C478C3" w:rsidRPr="00BE65CC" w:rsidRDefault="00C478C3" w:rsidP="007B78AC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6" w:name="_Toc531898538"/>
      <w:r w:rsidRPr="00BE65CC">
        <w:rPr>
          <w:rFonts w:ascii="Century Gothic" w:hAnsi="Century Gothic"/>
          <w:color w:val="auto"/>
          <w:sz w:val="20"/>
          <w:szCs w:val="20"/>
        </w:rPr>
        <w:t>DESCRIPCION DE ACTIVIDADES</w:t>
      </w:r>
      <w:bookmarkEnd w:id="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998"/>
        <w:gridCol w:w="2763"/>
        <w:gridCol w:w="1365"/>
      </w:tblGrid>
      <w:tr w:rsidR="00FB0573" w:rsidRPr="00BE65CC" w14:paraId="21B8DED8" w14:textId="77777777" w:rsidTr="000F679E">
        <w:trPr>
          <w:trHeight w:val="36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63D20F5" w14:textId="77777777" w:rsidR="007E54BC" w:rsidRPr="00BE65CC" w:rsidRDefault="007E54BC" w:rsidP="001E54B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N°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2263C4E" w14:textId="77777777" w:rsidR="007E54BC" w:rsidRPr="00BE65CC" w:rsidRDefault="007E54BC" w:rsidP="001E54B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DESCRICION DE ACTIVIDADES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FE46C5B" w14:textId="77777777" w:rsidR="007E54BC" w:rsidRPr="00BE65CC" w:rsidRDefault="007E54BC" w:rsidP="00C478C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RESPONSABLE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91DA7BE" w14:textId="77777777" w:rsidR="007E54BC" w:rsidRPr="00BE65CC" w:rsidRDefault="007E54BC" w:rsidP="001E54B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REGISTRO</w:t>
            </w:r>
          </w:p>
        </w:tc>
      </w:tr>
      <w:tr w:rsidR="00FB0573" w:rsidRPr="00BE65CC" w14:paraId="582E441C" w14:textId="77777777" w:rsidTr="000F679E">
        <w:trPr>
          <w:trHeight w:val="250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E7F" w14:textId="77777777" w:rsidR="00674B46" w:rsidRPr="00BE65CC" w:rsidRDefault="00674B46" w:rsidP="001E54BB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C9A9" w14:textId="77777777" w:rsidR="00674B46" w:rsidRPr="00BE65CC" w:rsidRDefault="00DA4FB5" w:rsidP="00CD3FD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Recibir </w:t>
            </w:r>
            <w:r w:rsidR="00556624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los diferentes extractos bancarios de cuentas.</w:t>
            </w:r>
          </w:p>
          <w:p w14:paraId="48DC24F9" w14:textId="77777777" w:rsidR="00556624" w:rsidRPr="00BE65CC" w:rsidRDefault="00556624" w:rsidP="0093358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Solicitud </w:t>
            </w:r>
            <w:r w:rsidR="00933582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por parte de contabilidad al banco de las cuentas corrientes, ahorros y convenios.</w:t>
            </w:r>
          </w:p>
          <w:p w14:paraId="4083305C" w14:textId="77777777" w:rsidR="00933582" w:rsidRPr="00BE65CC" w:rsidRDefault="00933582" w:rsidP="0055662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En caso de no recibir documento físico por parte del banco, imprimir del portal empresarial bancario una copia </w:t>
            </w:r>
            <w:r w:rsidR="00BE65CC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de los extractos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cuando se encuentre disponible para descargarlo.</w:t>
            </w:r>
          </w:p>
          <w:p w14:paraId="03E31357" w14:textId="77777777" w:rsidR="001366B9" w:rsidRPr="00BE65CC" w:rsidRDefault="001366B9" w:rsidP="001366B9">
            <w:pPr>
              <w:pStyle w:val="Prrafodelista"/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A2E2" w14:textId="77777777" w:rsidR="00674B46" w:rsidRPr="00BE65CC" w:rsidRDefault="00933582" w:rsidP="00CD3F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Operador logístico de préstamos y alquileres </w:t>
            </w:r>
            <w:r w:rsidR="00CD3FDC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/Técnico I de Contabilidad</w:t>
            </w:r>
            <w:r w:rsidR="00074254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/Profesional de Tesorería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8D5F" w14:textId="77777777" w:rsidR="00674B46" w:rsidRPr="000F679E" w:rsidRDefault="00BE65CC" w:rsidP="00CD3F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  <w:r w:rsidRPr="000F679E"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  <w:t>Extractos Bancarios</w:t>
            </w:r>
          </w:p>
        </w:tc>
      </w:tr>
      <w:tr w:rsidR="00FB0573" w:rsidRPr="00BE65CC" w14:paraId="3A61EAB1" w14:textId="77777777" w:rsidTr="000F679E">
        <w:trPr>
          <w:trHeight w:val="120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4C5" w14:textId="77777777" w:rsidR="00F2795A" w:rsidRPr="00BE65CC" w:rsidRDefault="00F2795A" w:rsidP="001E54BB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40F1" w14:textId="77777777" w:rsidR="00497274" w:rsidRPr="00BE65CC" w:rsidRDefault="00497274" w:rsidP="0002592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Imprimir el libro auxiliar de bancos de cada una de las cuentas bancarias para verificar los </w:t>
            </w:r>
            <w:r w:rsidR="00BE65CC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saldos, débitos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y créditos que se generaros durante el mes.</w:t>
            </w:r>
          </w:p>
          <w:p w14:paraId="6D8A19F1" w14:textId="77777777" w:rsidR="009A0F28" w:rsidRPr="00BE65CC" w:rsidRDefault="009A0F28" w:rsidP="0002592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661232D3" w14:textId="77777777" w:rsidR="009A0F28" w:rsidRPr="00BE65CC" w:rsidRDefault="009A0F28" w:rsidP="0002592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Comparar, verificar y analizar cifras</w:t>
            </w:r>
          </w:p>
          <w:p w14:paraId="6334C7A7" w14:textId="77777777" w:rsidR="008163C7" w:rsidRPr="00BE65CC" w:rsidRDefault="008163C7" w:rsidP="00025929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7ADC4D4C" w14:textId="77777777" w:rsidR="00497274" w:rsidRPr="00BE65CC" w:rsidRDefault="00497274" w:rsidP="00EE50B5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Comparar el saldo de libro auxiliar contra el saldo del extracto.</w:t>
            </w:r>
          </w:p>
          <w:p w14:paraId="708E5192" w14:textId="77777777" w:rsidR="00497274" w:rsidRPr="00BE65CC" w:rsidRDefault="00497274" w:rsidP="00EE50B5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Comparar los cheques girados las transferencias electrónicas contra lo efectivamente pagado por el banco según el extracto bancario.</w:t>
            </w:r>
          </w:p>
          <w:p w14:paraId="1EDC3CB6" w14:textId="77777777" w:rsidR="00025929" w:rsidRPr="00BE65CC" w:rsidRDefault="00497274" w:rsidP="00EE50B5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Revisar las notas </w:t>
            </w:r>
            <w:r w:rsidR="00EE50B5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débito y crédito registradas en el auxiliar como en el extracto bancario. 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</w:p>
          <w:p w14:paraId="0211D089" w14:textId="77777777" w:rsidR="009A0F28" w:rsidRPr="00BE65CC" w:rsidRDefault="009A0F28" w:rsidP="00EE50B5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Determinar las partidas conciliatorias identificadas para el siguiente mes.</w:t>
            </w:r>
          </w:p>
          <w:p w14:paraId="0079D703" w14:textId="77777777" w:rsidR="009A0F28" w:rsidRPr="00BE65CC" w:rsidRDefault="009A0F28" w:rsidP="009A0F28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5D3A4D41" w14:textId="77777777" w:rsidR="009A0F28" w:rsidRPr="00BE65CC" w:rsidRDefault="009A0F28" w:rsidP="009A0F28">
            <w:pPr>
              <w:pStyle w:val="Prrafodelista"/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C2C" w14:textId="77777777" w:rsidR="00F2795A" w:rsidRPr="00BE65CC" w:rsidRDefault="00025929" w:rsidP="00C478C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Técnico I de Contabilidad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DA7F" w14:textId="77777777" w:rsidR="00F2795A" w:rsidRPr="00BE65CC" w:rsidRDefault="000F679E" w:rsidP="00C478C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bookmarkStart w:id="7" w:name="_Hlk15553576"/>
            <w:r w:rsidRPr="000F679E"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  <w:t>Libro Auxiliar de Bancos</w:t>
            </w:r>
            <w:bookmarkEnd w:id="7"/>
          </w:p>
        </w:tc>
      </w:tr>
      <w:tr w:rsidR="00FB0573" w:rsidRPr="00BE65CC" w14:paraId="1B65C508" w14:textId="77777777" w:rsidTr="000F679E">
        <w:trPr>
          <w:trHeight w:val="76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6C0" w14:textId="77777777" w:rsidR="002E7A48" w:rsidRPr="00BE65CC" w:rsidRDefault="002E7A48" w:rsidP="002E7A4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lastRenderedPageBreak/>
              <w:t>3.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EFE0" w14:textId="77777777" w:rsidR="008163C7" w:rsidRPr="00BE65CC" w:rsidRDefault="00DA4FB5" w:rsidP="009D1127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Registrar las operaciones bancarias diarias y las operaciones mensuales, </w:t>
            </w:r>
            <w:r w:rsidR="008163C7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gastos y rendimientos financieros relacionados en el mes.</w:t>
            </w:r>
          </w:p>
          <w:p w14:paraId="31381BF9" w14:textId="77777777" w:rsidR="002E7A48" w:rsidRPr="00BE65CC" w:rsidRDefault="00DA4FB5" w:rsidP="00AB16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Registrar los</w:t>
            </w:r>
            <w:r w:rsidR="00AB16D1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rendimientos, 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(</w:t>
            </w:r>
            <w:r w:rsidR="00AB16D1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intereses financieros.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)</w:t>
            </w:r>
          </w:p>
          <w:p w14:paraId="5095F0C1" w14:textId="77777777" w:rsidR="008163C7" w:rsidRPr="00BE65CC" w:rsidRDefault="008163C7" w:rsidP="00AB16D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Registrar los va</w:t>
            </w:r>
            <w:r w:rsidR="00DA4FB5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lores relacionados como el movimiento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financiero, comisión, IVA y GMF (4x1000)</w:t>
            </w:r>
            <w:r w:rsidR="00AB16D1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  <w:p w14:paraId="2341F907" w14:textId="77777777" w:rsidR="000A58AC" w:rsidRPr="00BE65CC" w:rsidRDefault="000A58AC" w:rsidP="000A58AC">
            <w:pPr>
              <w:pStyle w:val="Prrafodelista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B3E03" w14:textId="77777777" w:rsidR="00AB16D1" w:rsidRPr="00BE65CC" w:rsidRDefault="00AB16D1" w:rsidP="00AB16D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86C2F9" w14:textId="77777777" w:rsidR="002E7A48" w:rsidRPr="00BE65CC" w:rsidRDefault="002E7A48" w:rsidP="00AB16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65CC">
              <w:rPr>
                <w:rFonts w:ascii="Century Gothic" w:hAnsi="Century Gothic"/>
                <w:sz w:val="20"/>
                <w:szCs w:val="20"/>
              </w:rPr>
              <w:t>Técnico I de Contabilidad</w:t>
            </w:r>
            <w:r w:rsidR="000A58AC" w:rsidRPr="00BE65CC">
              <w:rPr>
                <w:rFonts w:ascii="Century Gothic" w:hAnsi="Century Gothic"/>
                <w:sz w:val="20"/>
                <w:szCs w:val="20"/>
              </w:rPr>
              <w:t xml:space="preserve">/Coordinador Financiero 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1AE" w14:textId="77777777" w:rsidR="002E7A48" w:rsidRPr="00BE65CC" w:rsidRDefault="002E7A48" w:rsidP="002E7A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FB0573" w:rsidRPr="00BE65CC" w14:paraId="2B41092B" w14:textId="77777777" w:rsidTr="000F679E">
        <w:trPr>
          <w:trHeight w:val="61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48F10" w14:textId="77777777" w:rsidR="002E7A48" w:rsidRPr="00BE65CC" w:rsidRDefault="002E7A48" w:rsidP="002E7A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23311369" w14:textId="77777777" w:rsidR="00A6500C" w:rsidRPr="00BE65CC" w:rsidRDefault="004343A7" w:rsidP="00654CC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Notas débito y notas crédito y demás partidas conciliatorias que no se hayan podido definir como partida conciliatoria. </w:t>
            </w:r>
          </w:p>
          <w:p w14:paraId="2CC25845" w14:textId="77777777" w:rsidR="000A58AC" w:rsidRPr="00BE65CC" w:rsidRDefault="000A58AC" w:rsidP="00654CC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14:paraId="36C12097" w14:textId="77777777" w:rsidR="002E7A48" w:rsidRPr="00BE65CC" w:rsidRDefault="002E7A48" w:rsidP="000A58A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65CC">
              <w:rPr>
                <w:rFonts w:ascii="Century Gothic" w:hAnsi="Century Gothic"/>
                <w:sz w:val="20"/>
                <w:szCs w:val="20"/>
              </w:rPr>
              <w:t>Técnico I de Contabilidad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0C4F" w14:textId="77777777" w:rsidR="002E7A48" w:rsidRPr="00BE65CC" w:rsidRDefault="000F679E" w:rsidP="002E7A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0F679E"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  <w:t>Notas débito y notas crédito</w:t>
            </w:r>
          </w:p>
        </w:tc>
      </w:tr>
      <w:tr w:rsidR="00FB0573" w:rsidRPr="00BE65CC" w14:paraId="55989762" w14:textId="77777777" w:rsidTr="000F679E">
        <w:trPr>
          <w:trHeight w:val="133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19F" w14:textId="77777777" w:rsidR="00A6500C" w:rsidRPr="00BE65CC" w:rsidRDefault="00A6500C" w:rsidP="00A65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5.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AA24" w14:textId="77777777" w:rsidR="00A6500C" w:rsidRPr="00BE65CC" w:rsidRDefault="00834F70" w:rsidP="00A6500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Documentar la conciliación bancaria.</w:t>
            </w:r>
          </w:p>
          <w:p w14:paraId="3992312C" w14:textId="77777777" w:rsidR="00834F70" w:rsidRPr="00BE65CC" w:rsidRDefault="00834F70" w:rsidP="00834F7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Elaborar la conciliación bancaria en formato adoptado por el área contable.</w:t>
            </w:r>
          </w:p>
          <w:p w14:paraId="387535D5" w14:textId="77777777" w:rsidR="00834F70" w:rsidRPr="00BE65CC" w:rsidRDefault="00834F70" w:rsidP="00834F7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Registrar los valores relacionados, movimiento a conciliar, saldo según en bancos como saldo en libros.</w:t>
            </w:r>
          </w:p>
          <w:p w14:paraId="039F05D9" w14:textId="77777777" w:rsidR="00834F70" w:rsidRPr="00BE65CC" w:rsidRDefault="00834F70" w:rsidP="00834F70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Notas </w:t>
            </w:r>
            <w:r w:rsidR="00941492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débito</w:t>
            </w: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y crédito y demás partidas conciliatorias que no se hayan podido definir </w:t>
            </w:r>
            <w:r w:rsidR="00941492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al momento de conciliar quedaran registradas, (detalles de cheques sin contabilizar), (detalles de consignaciones no acreditadas), (notas debito no contabilizadas), (notas crédito no contabilizadas).</w:t>
            </w:r>
          </w:p>
          <w:p w14:paraId="06B004AB" w14:textId="77777777" w:rsidR="00AB16D1" w:rsidRPr="00BE65CC" w:rsidRDefault="000F679E" w:rsidP="00FB057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F</w:t>
            </w:r>
            <w:r w:rsidR="00941492"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irma por parte del funcionario que lo elaboro.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FB564" w14:textId="77777777" w:rsidR="00A6500C" w:rsidRPr="00BE65CC" w:rsidRDefault="00A6500C" w:rsidP="00A6500C">
            <w:pP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54CE89AE" w14:textId="77777777" w:rsidR="00941492" w:rsidRPr="00BE65CC" w:rsidRDefault="00941492" w:rsidP="00A6500C">
            <w:pP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1284B593" w14:textId="77777777" w:rsidR="00941492" w:rsidRPr="00BE65CC" w:rsidRDefault="00941492" w:rsidP="00A6500C">
            <w:pP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  <w:p w14:paraId="08368852" w14:textId="77777777" w:rsidR="00A6500C" w:rsidRPr="00BE65CC" w:rsidRDefault="00941492" w:rsidP="00341D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65CC">
              <w:rPr>
                <w:rFonts w:ascii="Century Gothic" w:hAnsi="Century Gothic"/>
                <w:sz w:val="20"/>
                <w:szCs w:val="20"/>
              </w:rPr>
              <w:t>Técnico I de Contabilidad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62F2" w14:textId="77777777" w:rsidR="00A6500C" w:rsidRPr="00BE65CC" w:rsidRDefault="000A58AC" w:rsidP="00A65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0F679E"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  <w:t>Soporte de la Conciliación Bancaria – Archivo de Conciliación Bancaria por Entidad y por Cuenta.</w:t>
            </w:r>
          </w:p>
        </w:tc>
      </w:tr>
      <w:tr w:rsidR="00FB0573" w:rsidRPr="00BE65CC" w14:paraId="1F380089" w14:textId="77777777" w:rsidTr="000F679E">
        <w:trPr>
          <w:trHeight w:val="1538"/>
        </w:trPr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70A7" w14:textId="77777777" w:rsidR="00A6500C" w:rsidRPr="00BE65CC" w:rsidRDefault="00A6500C" w:rsidP="00A65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E65CC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6.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9FA5" w14:textId="77777777" w:rsidR="00A6500C" w:rsidRPr="00BE65CC" w:rsidRDefault="00941492" w:rsidP="00F51849">
            <w:pPr>
              <w:pStyle w:val="Textocomentario"/>
              <w:rPr>
                <w:rFonts w:ascii="Century Gothic" w:hAnsi="Century Gothic" w:cs="Arial"/>
              </w:rPr>
            </w:pPr>
            <w:r w:rsidRPr="00BE65CC">
              <w:rPr>
                <w:rFonts w:ascii="Century Gothic" w:hAnsi="Century Gothic" w:cs="Arial"/>
              </w:rPr>
              <w:t xml:space="preserve">Aprobación, verificación y firma de la conciliación bancaria.  </w:t>
            </w:r>
          </w:p>
          <w:p w14:paraId="410342C6" w14:textId="77777777" w:rsidR="000A58AC" w:rsidRPr="00BE65CC" w:rsidRDefault="00941492" w:rsidP="000A58AC">
            <w:pPr>
              <w:pStyle w:val="Textocomentario"/>
              <w:numPr>
                <w:ilvl w:val="0"/>
                <w:numId w:val="45"/>
              </w:numPr>
              <w:rPr>
                <w:rFonts w:ascii="Century Gothic" w:hAnsi="Century Gothic" w:cs="Arial"/>
              </w:rPr>
            </w:pPr>
            <w:r w:rsidRPr="00BE65CC">
              <w:rPr>
                <w:rFonts w:ascii="Century Gothic" w:hAnsi="Century Gothic" w:cs="Arial"/>
              </w:rPr>
              <w:t xml:space="preserve">Revisar validar y firmar la conciliación bancaria en señal de aprobación 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8ADC" w14:textId="77777777" w:rsidR="00FB0573" w:rsidRPr="00BE65CC" w:rsidRDefault="00FB0573" w:rsidP="00341D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4CE718" w14:textId="77777777" w:rsidR="00A6500C" w:rsidRPr="00BE65CC" w:rsidRDefault="00341D9B" w:rsidP="00341D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65CC">
              <w:rPr>
                <w:rFonts w:ascii="Century Gothic" w:hAnsi="Century Gothic"/>
                <w:sz w:val="20"/>
                <w:szCs w:val="20"/>
              </w:rPr>
              <w:t>Técnico I de Contabilidad</w:t>
            </w:r>
            <w:r w:rsidR="00941492" w:rsidRPr="00BE65CC">
              <w:rPr>
                <w:rFonts w:ascii="Century Gothic" w:hAnsi="Century Gothic"/>
                <w:sz w:val="20"/>
                <w:szCs w:val="20"/>
              </w:rPr>
              <w:t>/ Coordinador Financiero/</w:t>
            </w:r>
            <w:proofErr w:type="gramStart"/>
            <w:r w:rsidR="00941492" w:rsidRPr="00BE65CC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="00941492" w:rsidRPr="00BE65CC">
              <w:rPr>
                <w:rFonts w:ascii="Century Gothic" w:hAnsi="Century Gothic"/>
                <w:sz w:val="20"/>
                <w:szCs w:val="20"/>
              </w:rPr>
              <w:t xml:space="preserve"> Administrativo y Financiero 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875F" w14:textId="77777777" w:rsidR="00A6500C" w:rsidRPr="00BE65CC" w:rsidRDefault="00941492" w:rsidP="00A65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CO"/>
              </w:rPr>
            </w:pPr>
            <w:r w:rsidRPr="00BE65CC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Visto Bueno</w:t>
            </w:r>
          </w:p>
        </w:tc>
      </w:tr>
    </w:tbl>
    <w:p w14:paraId="42794403" w14:textId="77777777" w:rsidR="007B6378" w:rsidRPr="000F679E" w:rsidRDefault="007B6378" w:rsidP="000F679E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8" w:name="_Toc531898539"/>
      <w:r w:rsidRPr="000F679E">
        <w:rPr>
          <w:rFonts w:ascii="Century Gothic" w:hAnsi="Century Gothic"/>
          <w:color w:val="auto"/>
          <w:sz w:val="20"/>
          <w:szCs w:val="20"/>
        </w:rPr>
        <w:t xml:space="preserve">POLÍTICAS PARA LA </w:t>
      </w:r>
      <w:bookmarkEnd w:id="8"/>
      <w:r w:rsidR="00074254" w:rsidRPr="000F679E">
        <w:rPr>
          <w:rFonts w:ascii="Century Gothic" w:hAnsi="Century Gothic"/>
          <w:color w:val="auto"/>
          <w:sz w:val="20"/>
          <w:szCs w:val="20"/>
        </w:rPr>
        <w:t xml:space="preserve">CONCILIACION BANCARIA </w:t>
      </w:r>
      <w:r w:rsidRPr="000F679E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4133026D" w14:textId="77777777" w:rsidR="00FC145C" w:rsidRPr="00BE65CC" w:rsidRDefault="00074254" w:rsidP="00074254">
      <w:pPr>
        <w:pStyle w:val="Prrafodelista"/>
        <w:numPr>
          <w:ilvl w:val="0"/>
          <w:numId w:val="4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>Manual de políticas.</w:t>
      </w:r>
    </w:p>
    <w:p w14:paraId="5CF0F98B" w14:textId="77777777" w:rsidR="00FA6777" w:rsidRPr="00BE65CC" w:rsidRDefault="00FA6777" w:rsidP="007B63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3A2438E" w14:textId="77777777" w:rsidR="007B6378" w:rsidRPr="00BE65CC" w:rsidRDefault="003531BC" w:rsidP="007B78AC">
      <w:pPr>
        <w:pStyle w:val="Ttulo1"/>
        <w:numPr>
          <w:ilvl w:val="0"/>
          <w:numId w:val="19"/>
        </w:numPr>
        <w:spacing w:after="240" w:line="240" w:lineRule="auto"/>
        <w:ind w:left="357" w:hanging="357"/>
        <w:jc w:val="both"/>
        <w:rPr>
          <w:rFonts w:ascii="Century Gothic" w:hAnsi="Century Gothic"/>
          <w:color w:val="auto"/>
          <w:sz w:val="20"/>
          <w:szCs w:val="20"/>
        </w:rPr>
      </w:pPr>
      <w:bookmarkStart w:id="9" w:name="_Toc531898540"/>
      <w:r w:rsidRPr="00BE65CC">
        <w:rPr>
          <w:rFonts w:ascii="Century Gothic" w:hAnsi="Century Gothic"/>
          <w:color w:val="auto"/>
          <w:sz w:val="20"/>
          <w:szCs w:val="20"/>
        </w:rPr>
        <w:t>NORMATIVIDAD VIGENTE</w:t>
      </w:r>
      <w:bookmarkEnd w:id="9"/>
      <w:r w:rsidR="007B6378" w:rsidRPr="00BE65CC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2306744E" w14:textId="77777777" w:rsidR="00C95F5F" w:rsidRPr="00BE65CC" w:rsidRDefault="00C95F5F" w:rsidP="00C95F5F">
      <w:pPr>
        <w:pStyle w:val="Prrafodelista"/>
        <w:numPr>
          <w:ilvl w:val="0"/>
          <w:numId w:val="38"/>
        </w:numPr>
        <w:rPr>
          <w:rFonts w:ascii="Century Gothic" w:hAnsi="Century Gothic"/>
          <w:sz w:val="20"/>
          <w:szCs w:val="20"/>
          <w:lang w:eastAsia="zh-TW"/>
        </w:rPr>
      </w:pPr>
      <w:r w:rsidRPr="00BE65CC">
        <w:rPr>
          <w:rFonts w:ascii="Century Gothic" w:hAnsi="Century Gothic"/>
          <w:sz w:val="20"/>
          <w:szCs w:val="20"/>
          <w:lang w:eastAsia="zh-TW"/>
        </w:rPr>
        <w:t>Manual de Políticas Contables CCF</w:t>
      </w:r>
    </w:p>
    <w:p w14:paraId="49A8A662" w14:textId="77777777" w:rsidR="00C95F5F" w:rsidRPr="00BE65CC" w:rsidRDefault="00C95F5F" w:rsidP="00C95F5F">
      <w:pPr>
        <w:pStyle w:val="Prrafodelista"/>
        <w:numPr>
          <w:ilvl w:val="0"/>
          <w:numId w:val="38"/>
        </w:numPr>
        <w:rPr>
          <w:rFonts w:ascii="Century Gothic" w:hAnsi="Century Gothic"/>
          <w:sz w:val="20"/>
          <w:szCs w:val="20"/>
          <w:lang w:eastAsia="zh-TW"/>
        </w:rPr>
      </w:pPr>
      <w:r w:rsidRPr="00BE65CC">
        <w:rPr>
          <w:rFonts w:ascii="Century Gothic" w:hAnsi="Century Gothic"/>
          <w:sz w:val="20"/>
          <w:szCs w:val="20"/>
          <w:lang w:eastAsia="zh-TW"/>
        </w:rPr>
        <w:t>Estatuto Tributario</w:t>
      </w:r>
    </w:p>
    <w:p w14:paraId="6603D378" w14:textId="77777777" w:rsidR="007B6378" w:rsidRDefault="007B6378" w:rsidP="00C95F5F">
      <w:pPr>
        <w:tabs>
          <w:tab w:val="left" w:pos="2475"/>
        </w:tabs>
        <w:rPr>
          <w:rFonts w:ascii="Century Gothic" w:hAnsi="Century Gothic" w:cs="Arial"/>
          <w:sz w:val="20"/>
          <w:szCs w:val="20"/>
        </w:rPr>
      </w:pPr>
      <w:r w:rsidRPr="00BE65CC">
        <w:rPr>
          <w:rFonts w:ascii="Century Gothic" w:hAnsi="Century Gothic" w:cs="Arial"/>
          <w:sz w:val="20"/>
          <w:szCs w:val="20"/>
        </w:rPr>
        <w:t xml:space="preserve"> </w:t>
      </w:r>
    </w:p>
    <w:p w14:paraId="3BD48294" w14:textId="77777777" w:rsidR="004A5635" w:rsidRPr="00BE65CC" w:rsidRDefault="004A5635" w:rsidP="00C95F5F">
      <w:pPr>
        <w:tabs>
          <w:tab w:val="left" w:pos="2475"/>
        </w:tabs>
        <w:rPr>
          <w:rFonts w:ascii="Century Gothic" w:hAnsi="Century Gothic" w:cs="Arial"/>
          <w:sz w:val="20"/>
          <w:szCs w:val="20"/>
        </w:rPr>
      </w:pPr>
    </w:p>
    <w:p w14:paraId="62A23564" w14:textId="77777777" w:rsidR="007B6378" w:rsidRPr="00BE65CC" w:rsidRDefault="003531BC" w:rsidP="007C205D">
      <w:pPr>
        <w:pStyle w:val="Ttulo1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bookmarkStart w:id="10" w:name="_Toc469307669"/>
      <w:bookmarkStart w:id="11" w:name="_Toc531898541"/>
      <w:r w:rsidRPr="00BE65CC">
        <w:rPr>
          <w:rFonts w:ascii="Century Gothic" w:hAnsi="Century Gothic"/>
          <w:color w:val="auto"/>
          <w:sz w:val="20"/>
          <w:szCs w:val="20"/>
        </w:rPr>
        <w:t xml:space="preserve">FORMATOS </w:t>
      </w:r>
      <w:bookmarkEnd w:id="10"/>
      <w:r w:rsidRPr="00BE65CC">
        <w:rPr>
          <w:rFonts w:ascii="Century Gothic" w:hAnsi="Century Gothic"/>
          <w:color w:val="auto"/>
          <w:sz w:val="20"/>
          <w:szCs w:val="20"/>
        </w:rPr>
        <w:t>Y/O DOCUMENTOS UTILIZADOS</w:t>
      </w:r>
      <w:bookmarkEnd w:id="11"/>
      <w:r w:rsidR="007B6378" w:rsidRPr="00BE65CC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03E71E11" w14:textId="77777777" w:rsidR="007B6378" w:rsidRPr="00BE65CC" w:rsidRDefault="007B6378" w:rsidP="007B6378">
      <w:pPr>
        <w:spacing w:after="0"/>
        <w:rPr>
          <w:rFonts w:ascii="Century Gothic" w:hAnsi="Century Gothic" w:cs="Arial"/>
          <w:sz w:val="20"/>
          <w:szCs w:val="20"/>
        </w:rPr>
      </w:pPr>
    </w:p>
    <w:p w14:paraId="54791265" w14:textId="77777777" w:rsidR="00352990" w:rsidRPr="000F679E" w:rsidRDefault="000F679E" w:rsidP="00FB0573">
      <w:pPr>
        <w:spacing w:after="0"/>
        <w:rPr>
          <w:rFonts w:ascii="Century Gothic" w:eastAsia="Calibri" w:hAnsi="Century Gothic" w:cs="Arial"/>
          <w:color w:val="0000FF"/>
          <w:sz w:val="20"/>
          <w:szCs w:val="20"/>
        </w:rPr>
      </w:pPr>
      <w:r w:rsidRPr="000F679E">
        <w:rPr>
          <w:rFonts w:ascii="Century Gothic" w:eastAsia="Calibri" w:hAnsi="Century Gothic" w:cs="Arial"/>
          <w:color w:val="0000FF"/>
          <w:sz w:val="20"/>
          <w:szCs w:val="20"/>
        </w:rPr>
        <w:t>Notas Débito y Crédito</w:t>
      </w:r>
    </w:p>
    <w:p w14:paraId="43C38A94" w14:textId="77777777" w:rsidR="000F679E" w:rsidRDefault="000F679E" w:rsidP="00FB0573">
      <w:pPr>
        <w:spacing w:after="0"/>
        <w:rPr>
          <w:rFonts w:ascii="Century Gothic" w:eastAsia="Calibri" w:hAnsi="Century Gothic" w:cs="Arial"/>
          <w:color w:val="0000FF"/>
          <w:sz w:val="20"/>
          <w:szCs w:val="20"/>
        </w:rPr>
      </w:pPr>
      <w:r w:rsidRPr="000F679E">
        <w:rPr>
          <w:rFonts w:ascii="Century Gothic" w:eastAsia="Calibri" w:hAnsi="Century Gothic" w:cs="Arial"/>
          <w:color w:val="0000FF"/>
          <w:sz w:val="20"/>
          <w:szCs w:val="20"/>
        </w:rPr>
        <w:t>Conciliaciones Bancarias.</w:t>
      </w:r>
    </w:p>
    <w:p w14:paraId="3FA81A18" w14:textId="77777777" w:rsidR="000F679E" w:rsidRPr="000F679E" w:rsidRDefault="000F679E" w:rsidP="00FB0573">
      <w:pPr>
        <w:spacing w:after="0"/>
        <w:rPr>
          <w:rFonts w:ascii="Century Gothic" w:eastAsia="Calibri" w:hAnsi="Century Gothic" w:cs="Arial"/>
          <w:color w:val="0000FF"/>
          <w:sz w:val="20"/>
          <w:szCs w:val="20"/>
        </w:rPr>
      </w:pPr>
      <w:r w:rsidRPr="000F679E">
        <w:rPr>
          <w:rFonts w:ascii="Century Gothic" w:eastAsia="Times New Roman" w:hAnsi="Century Gothic" w:cs="Arial"/>
          <w:color w:val="0000FF"/>
          <w:sz w:val="20"/>
          <w:szCs w:val="20"/>
          <w:lang w:val="es-CO" w:eastAsia="es-CO"/>
        </w:rPr>
        <w:t>Libro Auxiliar de Bancos</w:t>
      </w:r>
    </w:p>
    <w:p w14:paraId="2EFDEBC1" w14:textId="77777777" w:rsidR="000F679E" w:rsidRPr="00BE65CC" w:rsidRDefault="000F679E" w:rsidP="00FB0573">
      <w:pPr>
        <w:spacing w:after="0"/>
        <w:rPr>
          <w:rFonts w:ascii="Century Gothic" w:eastAsia="Calibri" w:hAnsi="Century Gothic" w:cs="Arial"/>
          <w:sz w:val="20"/>
          <w:szCs w:val="20"/>
        </w:rPr>
      </w:pPr>
    </w:p>
    <w:sectPr w:rsidR="000F679E" w:rsidRPr="00BE65CC" w:rsidSect="00F7713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D52A" w14:textId="77777777" w:rsidR="0053340A" w:rsidRDefault="0053340A" w:rsidP="000D6F58">
      <w:pPr>
        <w:spacing w:after="0" w:line="240" w:lineRule="auto"/>
      </w:pPr>
      <w:r>
        <w:separator/>
      </w:r>
    </w:p>
  </w:endnote>
  <w:endnote w:type="continuationSeparator" w:id="0">
    <w:p w14:paraId="1D22589F" w14:textId="77777777" w:rsidR="0053340A" w:rsidRDefault="0053340A" w:rsidP="000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1854" w14:textId="77777777" w:rsidR="00302554" w:rsidRPr="00C92D5A" w:rsidRDefault="00302554" w:rsidP="00F7713D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10E60BE3" w14:textId="77777777" w:rsidR="00302554" w:rsidRPr="00D22C58" w:rsidRDefault="00302554" w:rsidP="00F7713D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2440A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  <w:p w14:paraId="6462ADDF" w14:textId="77777777" w:rsidR="00302554" w:rsidRDefault="00302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CAE7" w14:textId="77777777" w:rsidR="0053340A" w:rsidRDefault="0053340A" w:rsidP="000D6F58">
      <w:pPr>
        <w:spacing w:after="0" w:line="240" w:lineRule="auto"/>
      </w:pPr>
      <w:r>
        <w:separator/>
      </w:r>
    </w:p>
  </w:footnote>
  <w:footnote w:type="continuationSeparator" w:id="0">
    <w:p w14:paraId="17AC8532" w14:textId="77777777" w:rsidR="0053340A" w:rsidRDefault="0053340A" w:rsidP="000D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94"/>
      <w:gridCol w:w="5677"/>
      <w:gridCol w:w="1708"/>
    </w:tblGrid>
    <w:tr w:rsidR="00302554" w:rsidRPr="00B1135C" w14:paraId="20CCA87D" w14:textId="77777777" w:rsidTr="005A4A37">
      <w:trPr>
        <w:trHeight w:val="456"/>
        <w:jc w:val="center"/>
      </w:trPr>
      <w:tc>
        <w:tcPr>
          <w:tcW w:w="2494" w:type="dxa"/>
          <w:vMerge w:val="restart"/>
        </w:tcPr>
        <w:p w14:paraId="590349A7" w14:textId="55A179D8" w:rsidR="00302554" w:rsidRDefault="00CA4E57" w:rsidP="00CA4E57">
          <w:pPr>
            <w:jc w:val="center"/>
          </w:pPr>
          <w:r>
            <w:rPr>
              <w:noProof/>
            </w:rPr>
            <w:drawing>
              <wp:inline distT="0" distB="0" distL="0" distR="0" wp14:anchorId="0519B713" wp14:editId="3E4419E0">
                <wp:extent cx="1329055" cy="567055"/>
                <wp:effectExtent l="0" t="0" r="4445" b="4445"/>
                <wp:docPr id="15063103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Align w:val="center"/>
        </w:tcPr>
        <w:p w14:paraId="6E2D7DDB" w14:textId="77777777" w:rsidR="00302554" w:rsidRPr="000D6F58" w:rsidRDefault="00195583" w:rsidP="002715F0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  <w:lang w:val="en-US"/>
            </w:rPr>
            <w:t>MAN</w:t>
          </w:r>
          <w:r w:rsidR="00302554">
            <w:rPr>
              <w:rFonts w:ascii="Century Gothic" w:hAnsi="Century Gothic" w:cs="Tahoma"/>
              <w:b/>
              <w:sz w:val="20"/>
              <w:szCs w:val="20"/>
              <w:lang w:val="en-US"/>
            </w:rPr>
            <w:t>-DAF-</w:t>
          </w:r>
          <w:r>
            <w:rPr>
              <w:rFonts w:ascii="Century Gothic" w:hAnsi="Century Gothic" w:cs="Tahoma"/>
              <w:b/>
              <w:sz w:val="20"/>
              <w:szCs w:val="20"/>
              <w:lang w:val="en-US"/>
            </w:rPr>
            <w:t>04</w:t>
          </w:r>
        </w:p>
      </w:tc>
      <w:tc>
        <w:tcPr>
          <w:tcW w:w="1708" w:type="dxa"/>
          <w:vMerge w:val="restart"/>
          <w:vAlign w:val="center"/>
        </w:tcPr>
        <w:p w14:paraId="624233DE" w14:textId="77777777" w:rsidR="00302554" w:rsidRPr="00B1135C" w:rsidRDefault="00302554" w:rsidP="002715F0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63C69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63C69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302554" w:rsidRPr="00B1135C" w14:paraId="6D3E5B82" w14:textId="77777777" w:rsidTr="005A4A37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494" w:type="dxa"/>
          <w:vMerge/>
        </w:tcPr>
        <w:p w14:paraId="666878E8" w14:textId="77777777" w:rsidR="00302554" w:rsidRPr="00B1135C" w:rsidRDefault="00302554" w:rsidP="002715F0">
          <w:pPr>
            <w:pStyle w:val="Encabezado"/>
            <w:rPr>
              <w:rFonts w:cs="Arial"/>
              <w:b/>
            </w:rPr>
          </w:pPr>
        </w:p>
      </w:tc>
      <w:tc>
        <w:tcPr>
          <w:tcW w:w="5677" w:type="dxa"/>
          <w:vAlign w:val="center"/>
        </w:tcPr>
        <w:p w14:paraId="50F350A5" w14:textId="77777777" w:rsidR="000B3F0B" w:rsidRPr="000B3F0B" w:rsidRDefault="000B3F0B" w:rsidP="000B3F0B">
          <w:pPr>
            <w:pStyle w:val="Encabezado"/>
            <w:jc w:val="center"/>
            <w:rPr>
              <w:rFonts w:ascii="Century Gothic" w:hAnsi="Century Gothic" w:cs="Tahoma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</w:rPr>
            <w:t>MANUAL DE PROCEDIMIENTOS PARA CONCILIACIONES BANCARIAS</w:t>
          </w:r>
        </w:p>
      </w:tc>
      <w:tc>
        <w:tcPr>
          <w:tcW w:w="1708" w:type="dxa"/>
          <w:vMerge/>
          <w:vAlign w:val="center"/>
        </w:tcPr>
        <w:p w14:paraId="2169A728" w14:textId="77777777" w:rsidR="00302554" w:rsidRPr="00B1135C" w:rsidRDefault="00302554" w:rsidP="002715F0">
          <w:pPr>
            <w:pStyle w:val="Encabezado"/>
            <w:rPr>
              <w:rFonts w:cs="Arial"/>
              <w:b/>
            </w:rPr>
          </w:pPr>
        </w:p>
      </w:tc>
    </w:tr>
  </w:tbl>
  <w:p w14:paraId="0C4969FD" w14:textId="77777777" w:rsidR="00302554" w:rsidRDefault="0030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E88B6C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98046A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A865674"/>
    <w:multiLevelType w:val="hybridMultilevel"/>
    <w:tmpl w:val="5C36E93C"/>
    <w:lvl w:ilvl="0" w:tplc="B59C9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87B"/>
    <w:multiLevelType w:val="hybridMultilevel"/>
    <w:tmpl w:val="681ED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0A9"/>
    <w:multiLevelType w:val="hybridMultilevel"/>
    <w:tmpl w:val="9956E8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6002"/>
    <w:multiLevelType w:val="hybridMultilevel"/>
    <w:tmpl w:val="F9A01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2EA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B62E98"/>
    <w:multiLevelType w:val="hybridMultilevel"/>
    <w:tmpl w:val="5AFE55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945"/>
    <w:multiLevelType w:val="hybridMultilevel"/>
    <w:tmpl w:val="B45A96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A50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1092C87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1701B7B"/>
    <w:multiLevelType w:val="hybridMultilevel"/>
    <w:tmpl w:val="ED9864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E234D"/>
    <w:multiLevelType w:val="hybridMultilevel"/>
    <w:tmpl w:val="58400610"/>
    <w:lvl w:ilvl="0" w:tplc="3A7AEA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F164F"/>
    <w:multiLevelType w:val="hybridMultilevel"/>
    <w:tmpl w:val="15EA19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0F04"/>
    <w:multiLevelType w:val="hybridMultilevel"/>
    <w:tmpl w:val="6F6889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7">
      <w:start w:val="1"/>
      <w:numFmt w:val="lowerLetter"/>
      <w:lvlText w:val="%5)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A12A8"/>
    <w:multiLevelType w:val="hybridMultilevel"/>
    <w:tmpl w:val="C6D6BBE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60D0E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C75DD8"/>
    <w:multiLevelType w:val="hybridMultilevel"/>
    <w:tmpl w:val="D1CA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16B80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2C6030A"/>
    <w:multiLevelType w:val="hybridMultilevel"/>
    <w:tmpl w:val="6942946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732A"/>
    <w:multiLevelType w:val="hybridMultilevel"/>
    <w:tmpl w:val="5298F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C60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171DD6"/>
    <w:multiLevelType w:val="hybridMultilevel"/>
    <w:tmpl w:val="AF169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245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4E27EA1"/>
    <w:multiLevelType w:val="hybridMultilevel"/>
    <w:tmpl w:val="8B26DB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977C01"/>
    <w:multiLevelType w:val="hybridMultilevel"/>
    <w:tmpl w:val="B358D8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52682"/>
    <w:multiLevelType w:val="hybridMultilevel"/>
    <w:tmpl w:val="819A56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F5EB8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951E3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0F7633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37212AA"/>
    <w:multiLevelType w:val="hybridMultilevel"/>
    <w:tmpl w:val="032C262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733"/>
    <w:multiLevelType w:val="hybridMultilevel"/>
    <w:tmpl w:val="EAECE8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A6648"/>
    <w:multiLevelType w:val="hybridMultilevel"/>
    <w:tmpl w:val="527A7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207D"/>
    <w:multiLevelType w:val="hybridMultilevel"/>
    <w:tmpl w:val="CB88D5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91626"/>
    <w:multiLevelType w:val="multilevel"/>
    <w:tmpl w:val="B5F4F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981A32"/>
    <w:multiLevelType w:val="hybridMultilevel"/>
    <w:tmpl w:val="3880197E"/>
    <w:lvl w:ilvl="0" w:tplc="D3003B20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D4722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0A61D91"/>
    <w:multiLevelType w:val="hybridMultilevel"/>
    <w:tmpl w:val="D0DC488A"/>
    <w:lvl w:ilvl="0" w:tplc="58E83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CB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28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8E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21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43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7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C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0E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73E86"/>
    <w:multiLevelType w:val="hybridMultilevel"/>
    <w:tmpl w:val="B9326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042230"/>
    <w:multiLevelType w:val="hybridMultilevel"/>
    <w:tmpl w:val="FB64F5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A3C8C"/>
    <w:multiLevelType w:val="hybridMultilevel"/>
    <w:tmpl w:val="5706F9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D463B"/>
    <w:multiLevelType w:val="hybridMultilevel"/>
    <w:tmpl w:val="0422D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F39"/>
    <w:multiLevelType w:val="multilevel"/>
    <w:tmpl w:val="418E5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C516DB"/>
    <w:multiLevelType w:val="singleLevel"/>
    <w:tmpl w:val="CD8041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FDB4B2F"/>
    <w:multiLevelType w:val="hybridMultilevel"/>
    <w:tmpl w:val="1B8E9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29921">
    <w:abstractNumId w:val="6"/>
  </w:num>
  <w:num w:numId="2" w16cid:durableId="1001348473">
    <w:abstractNumId w:val="32"/>
  </w:num>
  <w:num w:numId="3" w16cid:durableId="361594093">
    <w:abstractNumId w:val="33"/>
  </w:num>
  <w:num w:numId="4" w16cid:durableId="675377241">
    <w:abstractNumId w:val="19"/>
  </w:num>
  <w:num w:numId="5" w16cid:durableId="42601627">
    <w:abstractNumId w:val="13"/>
  </w:num>
  <w:num w:numId="6" w16cid:durableId="694502018">
    <w:abstractNumId w:val="8"/>
  </w:num>
  <w:num w:numId="7" w16cid:durableId="1586570624">
    <w:abstractNumId w:val="15"/>
  </w:num>
  <w:num w:numId="8" w16cid:durableId="108164813">
    <w:abstractNumId w:val="31"/>
  </w:num>
  <w:num w:numId="9" w16cid:durableId="257757208">
    <w:abstractNumId w:val="27"/>
  </w:num>
  <w:num w:numId="10" w16cid:durableId="131757206">
    <w:abstractNumId w:val="1"/>
  </w:num>
  <w:num w:numId="11" w16cid:durableId="64762671">
    <w:abstractNumId w:val="22"/>
  </w:num>
  <w:num w:numId="12" w16cid:durableId="1410882169">
    <w:abstractNumId w:val="11"/>
  </w:num>
  <w:num w:numId="13" w16cid:durableId="942150534">
    <w:abstractNumId w:val="39"/>
  </w:num>
  <w:num w:numId="14" w16cid:durableId="1591890657">
    <w:abstractNumId w:val="25"/>
  </w:num>
  <w:num w:numId="15" w16cid:durableId="696202929">
    <w:abstractNumId w:val="12"/>
  </w:num>
  <w:num w:numId="16" w16cid:durableId="1373993320">
    <w:abstractNumId w:val="2"/>
  </w:num>
  <w:num w:numId="17" w16cid:durableId="1669408435">
    <w:abstractNumId w:val="17"/>
  </w:num>
  <w:num w:numId="18" w16cid:durableId="33701454">
    <w:abstractNumId w:val="36"/>
  </w:num>
  <w:num w:numId="19" w16cid:durableId="763650749">
    <w:abstractNumId w:val="35"/>
  </w:num>
  <w:num w:numId="20" w16cid:durableId="6640115">
    <w:abstractNumId w:val="14"/>
  </w:num>
  <w:num w:numId="21" w16cid:durableId="551887997">
    <w:abstractNumId w:val="29"/>
  </w:num>
  <w:num w:numId="22" w16cid:durableId="36006011">
    <w:abstractNumId w:val="0"/>
  </w:num>
  <w:num w:numId="23" w16cid:durableId="371268584">
    <w:abstractNumId w:val="21"/>
  </w:num>
  <w:num w:numId="24" w16cid:durableId="316737621">
    <w:abstractNumId w:val="23"/>
  </w:num>
  <w:num w:numId="25" w16cid:durableId="1464619453">
    <w:abstractNumId w:val="37"/>
  </w:num>
  <w:num w:numId="26" w16cid:durableId="1782450816">
    <w:abstractNumId w:val="18"/>
  </w:num>
  <w:num w:numId="27" w16cid:durableId="830298010">
    <w:abstractNumId w:val="28"/>
  </w:num>
  <w:num w:numId="28" w16cid:durableId="1787700562">
    <w:abstractNumId w:val="16"/>
  </w:num>
  <w:num w:numId="29" w16cid:durableId="1721055152">
    <w:abstractNumId w:val="10"/>
  </w:num>
  <w:num w:numId="30" w16cid:durableId="1153764228">
    <w:abstractNumId w:val="44"/>
  </w:num>
  <w:num w:numId="31" w16cid:durableId="1539706231">
    <w:abstractNumId w:val="9"/>
  </w:num>
  <w:num w:numId="32" w16cid:durableId="1747415906">
    <w:abstractNumId w:val="43"/>
  </w:num>
  <w:num w:numId="33" w16cid:durableId="1640724641">
    <w:abstractNumId w:val="4"/>
  </w:num>
  <w:num w:numId="34" w16cid:durableId="2116753661">
    <w:abstractNumId w:val="38"/>
  </w:num>
  <w:num w:numId="35" w16cid:durableId="2059625756">
    <w:abstractNumId w:val="24"/>
  </w:num>
  <w:num w:numId="36" w16cid:durableId="1559586041">
    <w:abstractNumId w:val="20"/>
  </w:num>
  <w:num w:numId="37" w16cid:durableId="1952318555">
    <w:abstractNumId w:val="5"/>
  </w:num>
  <w:num w:numId="38" w16cid:durableId="691489836">
    <w:abstractNumId w:val="3"/>
  </w:num>
  <w:num w:numId="39" w16cid:durableId="940913513">
    <w:abstractNumId w:val="45"/>
  </w:num>
  <w:num w:numId="40" w16cid:durableId="1675916720">
    <w:abstractNumId w:val="41"/>
  </w:num>
  <w:num w:numId="41" w16cid:durableId="1281885959">
    <w:abstractNumId w:val="40"/>
  </w:num>
  <w:num w:numId="42" w16cid:durableId="1266771207">
    <w:abstractNumId w:val="7"/>
  </w:num>
  <w:num w:numId="43" w16cid:durableId="1679427308">
    <w:abstractNumId w:val="26"/>
  </w:num>
  <w:num w:numId="44" w16cid:durableId="750853832">
    <w:abstractNumId w:val="30"/>
  </w:num>
  <w:num w:numId="45" w16cid:durableId="913204189">
    <w:abstractNumId w:val="34"/>
  </w:num>
  <w:num w:numId="46" w16cid:durableId="68355729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4"/>
    <w:rsid w:val="00025929"/>
    <w:rsid w:val="00032D30"/>
    <w:rsid w:val="00074254"/>
    <w:rsid w:val="000936A6"/>
    <w:rsid w:val="000A58AC"/>
    <w:rsid w:val="000A67CE"/>
    <w:rsid w:val="000B3F0B"/>
    <w:rsid w:val="000D6F58"/>
    <w:rsid w:val="000D70A7"/>
    <w:rsid w:val="000E5508"/>
    <w:rsid w:val="000E6CF9"/>
    <w:rsid w:val="000F4172"/>
    <w:rsid w:val="000F679E"/>
    <w:rsid w:val="001175EE"/>
    <w:rsid w:val="00120C61"/>
    <w:rsid w:val="00120EA2"/>
    <w:rsid w:val="00124B23"/>
    <w:rsid w:val="001344CA"/>
    <w:rsid w:val="001366B9"/>
    <w:rsid w:val="001466D1"/>
    <w:rsid w:val="00157E0D"/>
    <w:rsid w:val="001640FF"/>
    <w:rsid w:val="00165EFD"/>
    <w:rsid w:val="00177AB3"/>
    <w:rsid w:val="00195583"/>
    <w:rsid w:val="00195FAB"/>
    <w:rsid w:val="00196E85"/>
    <w:rsid w:val="001D529F"/>
    <w:rsid w:val="001E54BB"/>
    <w:rsid w:val="002200E5"/>
    <w:rsid w:val="00221BA1"/>
    <w:rsid w:val="0023266F"/>
    <w:rsid w:val="00237764"/>
    <w:rsid w:val="002440A8"/>
    <w:rsid w:val="0025256A"/>
    <w:rsid w:val="002644A5"/>
    <w:rsid w:val="002715F0"/>
    <w:rsid w:val="00285C3B"/>
    <w:rsid w:val="002901A2"/>
    <w:rsid w:val="002B3864"/>
    <w:rsid w:val="002B5C70"/>
    <w:rsid w:val="002E7A48"/>
    <w:rsid w:val="00302554"/>
    <w:rsid w:val="00304AA0"/>
    <w:rsid w:val="00305609"/>
    <w:rsid w:val="003133E6"/>
    <w:rsid w:val="00314C43"/>
    <w:rsid w:val="00325424"/>
    <w:rsid w:val="00341D9B"/>
    <w:rsid w:val="00352990"/>
    <w:rsid w:val="003531BC"/>
    <w:rsid w:val="00395872"/>
    <w:rsid w:val="003C6D80"/>
    <w:rsid w:val="003D2585"/>
    <w:rsid w:val="003D2DC2"/>
    <w:rsid w:val="003D5966"/>
    <w:rsid w:val="003F1869"/>
    <w:rsid w:val="003F30FA"/>
    <w:rsid w:val="00401D4C"/>
    <w:rsid w:val="00401D91"/>
    <w:rsid w:val="004037E9"/>
    <w:rsid w:val="004101BE"/>
    <w:rsid w:val="00430C68"/>
    <w:rsid w:val="004343A7"/>
    <w:rsid w:val="004407E2"/>
    <w:rsid w:val="00484ACE"/>
    <w:rsid w:val="00497274"/>
    <w:rsid w:val="004A5635"/>
    <w:rsid w:val="004A6FED"/>
    <w:rsid w:val="004F5CE3"/>
    <w:rsid w:val="004F6F6A"/>
    <w:rsid w:val="00511409"/>
    <w:rsid w:val="00511A49"/>
    <w:rsid w:val="0052304C"/>
    <w:rsid w:val="0053340A"/>
    <w:rsid w:val="005419C3"/>
    <w:rsid w:val="00541FAC"/>
    <w:rsid w:val="00556624"/>
    <w:rsid w:val="00562BB9"/>
    <w:rsid w:val="00563C69"/>
    <w:rsid w:val="00566FA1"/>
    <w:rsid w:val="005728BE"/>
    <w:rsid w:val="00575339"/>
    <w:rsid w:val="005859E5"/>
    <w:rsid w:val="0058679E"/>
    <w:rsid w:val="005A4A37"/>
    <w:rsid w:val="005C1966"/>
    <w:rsid w:val="005D6672"/>
    <w:rsid w:val="005E4FC4"/>
    <w:rsid w:val="005F6083"/>
    <w:rsid w:val="00605887"/>
    <w:rsid w:val="0061483B"/>
    <w:rsid w:val="00626781"/>
    <w:rsid w:val="00631345"/>
    <w:rsid w:val="006314FA"/>
    <w:rsid w:val="00647376"/>
    <w:rsid w:val="00651EF2"/>
    <w:rsid w:val="00654CC6"/>
    <w:rsid w:val="0067086F"/>
    <w:rsid w:val="00674B46"/>
    <w:rsid w:val="00687B3F"/>
    <w:rsid w:val="0069495B"/>
    <w:rsid w:val="006B7C7E"/>
    <w:rsid w:val="00701F78"/>
    <w:rsid w:val="0070423B"/>
    <w:rsid w:val="007A6CBB"/>
    <w:rsid w:val="007B6207"/>
    <w:rsid w:val="007B6378"/>
    <w:rsid w:val="007B78AC"/>
    <w:rsid w:val="007C205D"/>
    <w:rsid w:val="007D088E"/>
    <w:rsid w:val="007E06FB"/>
    <w:rsid w:val="007E54BC"/>
    <w:rsid w:val="008100E0"/>
    <w:rsid w:val="00811E7F"/>
    <w:rsid w:val="008123B8"/>
    <w:rsid w:val="008163C7"/>
    <w:rsid w:val="00834F70"/>
    <w:rsid w:val="008525AD"/>
    <w:rsid w:val="00860D37"/>
    <w:rsid w:val="008A042A"/>
    <w:rsid w:val="008A0769"/>
    <w:rsid w:val="008A5C5F"/>
    <w:rsid w:val="008B0A22"/>
    <w:rsid w:val="008B0F51"/>
    <w:rsid w:val="008D4668"/>
    <w:rsid w:val="008F222E"/>
    <w:rsid w:val="00900BD5"/>
    <w:rsid w:val="009014A6"/>
    <w:rsid w:val="00903EA5"/>
    <w:rsid w:val="00915728"/>
    <w:rsid w:val="009269F7"/>
    <w:rsid w:val="00933582"/>
    <w:rsid w:val="00935C50"/>
    <w:rsid w:val="00941492"/>
    <w:rsid w:val="0095480E"/>
    <w:rsid w:val="00963134"/>
    <w:rsid w:val="009A0F28"/>
    <w:rsid w:val="009A13AD"/>
    <w:rsid w:val="009A795E"/>
    <w:rsid w:val="009C29BE"/>
    <w:rsid w:val="009D1127"/>
    <w:rsid w:val="009D4C3E"/>
    <w:rsid w:val="009F7DA1"/>
    <w:rsid w:val="009F7DAC"/>
    <w:rsid w:val="00A1672D"/>
    <w:rsid w:val="00A20406"/>
    <w:rsid w:val="00A22C1D"/>
    <w:rsid w:val="00A26F01"/>
    <w:rsid w:val="00A51737"/>
    <w:rsid w:val="00A6500C"/>
    <w:rsid w:val="00A713BF"/>
    <w:rsid w:val="00A84DA3"/>
    <w:rsid w:val="00A90549"/>
    <w:rsid w:val="00AB16D1"/>
    <w:rsid w:val="00AB39D7"/>
    <w:rsid w:val="00AB3C41"/>
    <w:rsid w:val="00AB60D3"/>
    <w:rsid w:val="00AB7220"/>
    <w:rsid w:val="00AD0392"/>
    <w:rsid w:val="00AD4160"/>
    <w:rsid w:val="00AE67A2"/>
    <w:rsid w:val="00B01DB4"/>
    <w:rsid w:val="00B116FA"/>
    <w:rsid w:val="00B27FA5"/>
    <w:rsid w:val="00B50FA7"/>
    <w:rsid w:val="00B635D4"/>
    <w:rsid w:val="00B75FD3"/>
    <w:rsid w:val="00B91790"/>
    <w:rsid w:val="00BA6544"/>
    <w:rsid w:val="00BB2D5F"/>
    <w:rsid w:val="00BC4553"/>
    <w:rsid w:val="00BD27BD"/>
    <w:rsid w:val="00BE3F3C"/>
    <w:rsid w:val="00BE65CC"/>
    <w:rsid w:val="00BE736D"/>
    <w:rsid w:val="00C05A01"/>
    <w:rsid w:val="00C15D73"/>
    <w:rsid w:val="00C24851"/>
    <w:rsid w:val="00C478C3"/>
    <w:rsid w:val="00C672F6"/>
    <w:rsid w:val="00C76029"/>
    <w:rsid w:val="00C941F0"/>
    <w:rsid w:val="00C95F5F"/>
    <w:rsid w:val="00CA4E57"/>
    <w:rsid w:val="00CB2D33"/>
    <w:rsid w:val="00CD3FDC"/>
    <w:rsid w:val="00CE5843"/>
    <w:rsid w:val="00CE58D7"/>
    <w:rsid w:val="00CE63DA"/>
    <w:rsid w:val="00D01FA1"/>
    <w:rsid w:val="00D16DA3"/>
    <w:rsid w:val="00D26778"/>
    <w:rsid w:val="00D3013B"/>
    <w:rsid w:val="00D35FBE"/>
    <w:rsid w:val="00D56CCE"/>
    <w:rsid w:val="00D7216C"/>
    <w:rsid w:val="00D81425"/>
    <w:rsid w:val="00D81CAF"/>
    <w:rsid w:val="00D86664"/>
    <w:rsid w:val="00D9332D"/>
    <w:rsid w:val="00DA4FB5"/>
    <w:rsid w:val="00E04825"/>
    <w:rsid w:val="00E175DA"/>
    <w:rsid w:val="00E36B37"/>
    <w:rsid w:val="00E44312"/>
    <w:rsid w:val="00E60355"/>
    <w:rsid w:val="00E65265"/>
    <w:rsid w:val="00E67A1D"/>
    <w:rsid w:val="00E86546"/>
    <w:rsid w:val="00E86BA7"/>
    <w:rsid w:val="00E910EE"/>
    <w:rsid w:val="00EA5876"/>
    <w:rsid w:val="00EB4586"/>
    <w:rsid w:val="00EC7383"/>
    <w:rsid w:val="00EE3852"/>
    <w:rsid w:val="00EE50B5"/>
    <w:rsid w:val="00EF126E"/>
    <w:rsid w:val="00EF2146"/>
    <w:rsid w:val="00EF7CFF"/>
    <w:rsid w:val="00F10D4B"/>
    <w:rsid w:val="00F157C1"/>
    <w:rsid w:val="00F17DCD"/>
    <w:rsid w:val="00F2795A"/>
    <w:rsid w:val="00F46661"/>
    <w:rsid w:val="00F47EF1"/>
    <w:rsid w:val="00F51849"/>
    <w:rsid w:val="00F544EB"/>
    <w:rsid w:val="00F63554"/>
    <w:rsid w:val="00F64F73"/>
    <w:rsid w:val="00F7713D"/>
    <w:rsid w:val="00F85BC2"/>
    <w:rsid w:val="00FA6777"/>
    <w:rsid w:val="00FB0573"/>
    <w:rsid w:val="00FC145C"/>
    <w:rsid w:val="00FC7934"/>
    <w:rsid w:val="00FD1226"/>
    <w:rsid w:val="00FD7F24"/>
    <w:rsid w:val="00FE14B2"/>
    <w:rsid w:val="00F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8A588"/>
  <w15:docId w15:val="{C51BEE62-6AC5-4A87-83CE-DAD46D6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C4"/>
  </w:style>
  <w:style w:type="paragraph" w:styleId="Ttulo1">
    <w:name w:val="heading 1"/>
    <w:next w:val="Normal"/>
    <w:link w:val="Ttulo1Car"/>
    <w:uiPriority w:val="9"/>
    <w:unhideWhenUsed/>
    <w:qFormat/>
    <w:rsid w:val="007B6378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zh-TW"/>
    </w:rPr>
  </w:style>
  <w:style w:type="paragraph" w:styleId="Ttulo2">
    <w:name w:val="heading 2"/>
    <w:next w:val="Normal"/>
    <w:link w:val="Ttulo2Car"/>
    <w:uiPriority w:val="9"/>
    <w:unhideWhenUsed/>
    <w:qFormat/>
    <w:rsid w:val="007B6378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zh-TW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7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FC4"/>
  </w:style>
  <w:style w:type="paragraph" w:styleId="Prrafodelista">
    <w:name w:val="List Paragraph"/>
    <w:aliases w:val="EY - Lista,EY EPM - Lista"/>
    <w:basedOn w:val="Normal"/>
    <w:uiPriority w:val="34"/>
    <w:qFormat/>
    <w:rsid w:val="005E4F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D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58"/>
  </w:style>
  <w:style w:type="paragraph" w:styleId="Textoindependiente">
    <w:name w:val="Body Text"/>
    <w:basedOn w:val="Normal"/>
    <w:link w:val="TextoindependienteCar"/>
    <w:uiPriority w:val="99"/>
    <w:rsid w:val="000D6F5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F58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D6F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D6F5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A37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F7D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D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D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D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DAC"/>
    <w:rPr>
      <w:b/>
      <w:bCs/>
      <w:sz w:val="20"/>
      <w:szCs w:val="20"/>
    </w:rPr>
  </w:style>
  <w:style w:type="paragraph" w:styleId="Listaconvietas3">
    <w:name w:val="List Bullet 3"/>
    <w:basedOn w:val="Normal"/>
    <w:rsid w:val="00E910EE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B45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B4586"/>
  </w:style>
  <w:style w:type="character" w:customStyle="1" w:styleId="Ttulo1Car">
    <w:name w:val="Título 1 Car"/>
    <w:basedOn w:val="Fuentedeprrafopredeter"/>
    <w:link w:val="Ttulo1"/>
    <w:uiPriority w:val="9"/>
    <w:rsid w:val="007B6378"/>
    <w:rPr>
      <w:rFonts w:ascii="Arial" w:eastAsia="Arial" w:hAnsi="Arial" w:cs="Arial"/>
      <w:b/>
      <w:color w:val="000000"/>
      <w:sz w:val="24"/>
      <w:lang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7B6378"/>
    <w:rPr>
      <w:rFonts w:ascii="Arial" w:eastAsia="Arial" w:hAnsi="Arial" w:cs="Arial"/>
      <w:b/>
      <w:color w:val="000000"/>
      <w:sz w:val="24"/>
      <w:lang w:eastAsia="zh-TW"/>
    </w:rPr>
  </w:style>
  <w:style w:type="table" w:customStyle="1" w:styleId="TableGrid">
    <w:name w:val="TableGrid"/>
    <w:rsid w:val="007B6378"/>
    <w:pPr>
      <w:spacing w:after="0" w:line="240" w:lineRule="auto"/>
    </w:pPr>
    <w:rPr>
      <w:rFonts w:eastAsiaTheme="minorEastAsia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637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CO" w:eastAsia="zh-TW"/>
    </w:rPr>
  </w:style>
  <w:style w:type="character" w:customStyle="1" w:styleId="Ttulo4Car">
    <w:name w:val="Título 4 Car"/>
    <w:basedOn w:val="Fuentedeprrafopredeter"/>
    <w:link w:val="Ttulo4"/>
    <w:uiPriority w:val="9"/>
    <w:rsid w:val="00E86B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75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2">
    <w:name w:val="List 2"/>
    <w:basedOn w:val="Normal"/>
    <w:rsid w:val="009A795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Lista">
    <w:name w:val="List"/>
    <w:basedOn w:val="Normal"/>
    <w:uiPriority w:val="99"/>
    <w:semiHidden/>
    <w:unhideWhenUsed/>
    <w:rsid w:val="00EE3852"/>
    <w:pPr>
      <w:ind w:left="283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385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385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385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3852"/>
  </w:style>
  <w:style w:type="paragraph" w:styleId="Listaconvietas5">
    <w:name w:val="List Bullet 5"/>
    <w:basedOn w:val="Normal"/>
    <w:uiPriority w:val="99"/>
    <w:semiHidden/>
    <w:unhideWhenUsed/>
    <w:rsid w:val="00EE3852"/>
    <w:pPr>
      <w:numPr>
        <w:numId w:val="22"/>
      </w:numPr>
      <w:spacing w:after="0" w:line="240" w:lineRule="auto"/>
      <w:contextualSpacing/>
    </w:pPr>
  </w:style>
  <w:style w:type="paragraph" w:styleId="Lista3">
    <w:name w:val="List 3"/>
    <w:basedOn w:val="Normal"/>
    <w:uiPriority w:val="99"/>
    <w:unhideWhenUsed/>
    <w:rsid w:val="005419C3"/>
    <w:pPr>
      <w:spacing w:after="0" w:line="240" w:lineRule="auto"/>
      <w:ind w:left="849" w:hanging="283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B78AC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B78A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78A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B78AC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B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61E6-4583-4949-B3EE-207AEC8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Sandra Moreno</cp:lastModifiedBy>
  <cp:revision>17</cp:revision>
  <dcterms:created xsi:type="dcterms:W3CDTF">2019-08-01T17:16:00Z</dcterms:created>
  <dcterms:modified xsi:type="dcterms:W3CDTF">2025-02-11T22:56:00Z</dcterms:modified>
</cp:coreProperties>
</file>